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2D6" w:rsidRDefault="00D84D6A" w:rsidP="000F12D6">
      <w:pPr>
        <w:pStyle w:val="Heading1"/>
      </w:pPr>
      <w:r>
        <w:t>Overview</w:t>
      </w:r>
    </w:p>
    <w:p w:rsidR="000F12D6" w:rsidRDefault="000F12D6" w:rsidP="000F12D6">
      <w:pPr>
        <w:pStyle w:val="BodyText"/>
      </w:pPr>
      <w:r>
        <w:t>It is possible to upload rates from a spreadsheet into dtms as an alternative to entering rates into the rate system itself. The benefit to doing this is that the upload is extremely fast compared with keying in individual rates.</w:t>
      </w:r>
    </w:p>
    <w:p w:rsidR="000F12D6" w:rsidRPr="000F12D6" w:rsidRDefault="000F12D6" w:rsidP="000F12D6">
      <w:pPr>
        <w:pStyle w:val="BodyText"/>
      </w:pPr>
      <w:r>
        <w:t>In order for the upload to work, the spreadsheet must adhere to a certain structure that can be understood by the upload process.</w:t>
      </w:r>
    </w:p>
    <w:p w:rsidR="000F12D6" w:rsidRDefault="000F12D6" w:rsidP="000F12D6">
      <w:pPr>
        <w:pStyle w:val="BodyText"/>
      </w:pPr>
      <w:r>
        <w:t xml:space="preserve">Currently there are </w:t>
      </w:r>
      <w:r w:rsidR="00127515">
        <w:t xml:space="preserve">two </w:t>
      </w:r>
      <w:r>
        <w:t>basic formats for</w:t>
      </w:r>
      <w:r w:rsidR="00127515">
        <w:t xml:space="preserve"> uploading: Standard LTL rates and Zone/Service rates</w:t>
      </w:r>
      <w:r w:rsidR="000235F4">
        <w:t>.</w:t>
      </w:r>
    </w:p>
    <w:p w:rsidR="000F12D6" w:rsidRDefault="00DF5028" w:rsidP="000F12D6">
      <w:pPr>
        <w:pStyle w:val="Heading1"/>
      </w:pPr>
      <w:r>
        <w:t>Flat Rated</w:t>
      </w:r>
      <w:r w:rsidR="000F12D6">
        <w:t xml:space="preserve"> Skid Rates</w:t>
      </w:r>
      <w:r w:rsidR="00422DE2">
        <w:t xml:space="preserve"> in Column Format</w:t>
      </w:r>
    </w:p>
    <w:p w:rsidR="000F12D6" w:rsidRDefault="00345538" w:rsidP="000F12D6">
      <w:pPr>
        <w:pStyle w:val="BodyText"/>
      </w:pPr>
      <w:r>
        <w:rPr>
          <w:noProof/>
        </w:rPr>
        <w:drawing>
          <wp:inline distT="0" distB="0" distL="0" distR="0">
            <wp:extent cx="3555365" cy="1617345"/>
            <wp:effectExtent l="1905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555365" cy="1617345"/>
                    </a:xfrm>
                    <a:prstGeom prst="rect">
                      <a:avLst/>
                    </a:prstGeom>
                    <a:noFill/>
                    <a:ln w="9525">
                      <a:noFill/>
                      <a:miter lim="800000"/>
                      <a:headEnd/>
                      <a:tailEnd/>
                    </a:ln>
                  </pic:spPr>
                </pic:pic>
              </a:graphicData>
            </a:graphic>
          </wp:inline>
        </w:drawing>
      </w:r>
    </w:p>
    <w:p w:rsidR="00345538" w:rsidRDefault="00345538" w:rsidP="000F12D6">
      <w:pPr>
        <w:pStyle w:val="BodyText"/>
      </w:pPr>
      <w:r>
        <w:t>The above example will upload flat skid rates based on the information held in the keywords in cells A1 to A8.</w:t>
      </w:r>
    </w:p>
    <w:tbl>
      <w:tblPr>
        <w:tblStyle w:val="TableGrid3"/>
        <w:tblW w:w="0" w:type="auto"/>
        <w:tblLook w:val="04A0" w:firstRow="1" w:lastRow="0" w:firstColumn="1" w:lastColumn="0" w:noHBand="0" w:noVBand="1"/>
      </w:tblPr>
      <w:tblGrid>
        <w:gridCol w:w="1458"/>
        <w:gridCol w:w="7398"/>
      </w:tblGrid>
      <w:tr w:rsidR="00345538" w:rsidTr="00DF5028">
        <w:trPr>
          <w:cnfStyle w:val="100000000000" w:firstRow="1" w:lastRow="0" w:firstColumn="0" w:lastColumn="0" w:oddVBand="0" w:evenVBand="0" w:oddHBand="0" w:evenHBand="0" w:firstRowFirstColumn="0" w:firstRowLastColumn="0" w:lastRowFirstColumn="0" w:lastRowLastColumn="0"/>
        </w:trPr>
        <w:tc>
          <w:tcPr>
            <w:tcW w:w="1458" w:type="dxa"/>
          </w:tcPr>
          <w:p w:rsidR="00345538" w:rsidRDefault="00345538" w:rsidP="000F12D6">
            <w:pPr>
              <w:pStyle w:val="BodyText"/>
            </w:pPr>
            <w:r>
              <w:t>Keyword</w:t>
            </w:r>
          </w:p>
          <w:p w:rsidR="00D84D6A" w:rsidRDefault="00D84D6A" w:rsidP="000F12D6">
            <w:pPr>
              <w:pStyle w:val="BodyText"/>
            </w:pPr>
            <w:r>
              <w:t>(Column A)</w:t>
            </w:r>
          </w:p>
        </w:tc>
        <w:tc>
          <w:tcPr>
            <w:tcW w:w="7398" w:type="dxa"/>
          </w:tcPr>
          <w:p w:rsidR="00345538" w:rsidRDefault="00345538" w:rsidP="000F12D6">
            <w:pPr>
              <w:pStyle w:val="BodyText"/>
            </w:pPr>
            <w:r>
              <w:t>Description</w:t>
            </w:r>
          </w:p>
          <w:p w:rsidR="00D84D6A" w:rsidRDefault="00D84D6A" w:rsidP="000F12D6">
            <w:pPr>
              <w:pStyle w:val="BodyText"/>
            </w:pPr>
            <w:r>
              <w:t>(Column B)</w:t>
            </w:r>
          </w:p>
        </w:tc>
      </w:tr>
      <w:tr w:rsidR="00345538" w:rsidTr="00DF5028">
        <w:tc>
          <w:tcPr>
            <w:tcW w:w="1458" w:type="dxa"/>
          </w:tcPr>
          <w:p w:rsidR="00345538" w:rsidRDefault="00345538" w:rsidP="000F12D6">
            <w:pPr>
              <w:pStyle w:val="BodyText"/>
            </w:pPr>
            <w:r>
              <w:t>Billto</w:t>
            </w:r>
          </w:p>
        </w:tc>
        <w:tc>
          <w:tcPr>
            <w:tcW w:w="7398" w:type="dxa"/>
          </w:tcPr>
          <w:p w:rsidR="00345538" w:rsidRDefault="00345538" w:rsidP="000F12D6">
            <w:pPr>
              <w:pStyle w:val="BodyText"/>
            </w:pPr>
            <w:r>
              <w:t>Customer account code from the client file</w:t>
            </w:r>
            <w:r w:rsidR="00950C1B">
              <w:t xml:space="preserve"> - or the type code if using a type rate.</w:t>
            </w:r>
          </w:p>
        </w:tc>
      </w:tr>
      <w:tr w:rsidR="00345538" w:rsidTr="00DF5028">
        <w:tc>
          <w:tcPr>
            <w:tcW w:w="1458" w:type="dxa"/>
          </w:tcPr>
          <w:p w:rsidR="00345538" w:rsidRDefault="00345538" w:rsidP="000F12D6">
            <w:pPr>
              <w:pStyle w:val="BodyText"/>
            </w:pPr>
            <w:r>
              <w:t>Effective</w:t>
            </w:r>
          </w:p>
        </w:tc>
        <w:tc>
          <w:tcPr>
            <w:tcW w:w="7398" w:type="dxa"/>
          </w:tcPr>
          <w:p w:rsidR="00345538" w:rsidRDefault="00345538" w:rsidP="000F12D6">
            <w:pPr>
              <w:pStyle w:val="BodyText"/>
            </w:pPr>
            <w:r>
              <w:t>The Effective date to assign to the rate. If this doesn't exist, today's date will be assigned as the effective date.</w:t>
            </w:r>
          </w:p>
        </w:tc>
      </w:tr>
      <w:tr w:rsidR="00345538" w:rsidTr="00DF5028">
        <w:tc>
          <w:tcPr>
            <w:tcW w:w="1458" w:type="dxa"/>
          </w:tcPr>
          <w:p w:rsidR="00345538" w:rsidRDefault="00345538" w:rsidP="000F12D6">
            <w:pPr>
              <w:pStyle w:val="BodyText"/>
            </w:pPr>
            <w:r>
              <w:t>Expiry</w:t>
            </w:r>
          </w:p>
        </w:tc>
        <w:tc>
          <w:tcPr>
            <w:tcW w:w="7398" w:type="dxa"/>
          </w:tcPr>
          <w:p w:rsidR="00345538" w:rsidRDefault="00345538" w:rsidP="000F12D6">
            <w:pPr>
              <w:pStyle w:val="BodyText"/>
            </w:pPr>
            <w:r>
              <w:t>The expiry date of the rate. If this doesn't exist no expiry date will be assigned to the rate.</w:t>
            </w:r>
          </w:p>
        </w:tc>
      </w:tr>
      <w:tr w:rsidR="00345538" w:rsidTr="00DF5028">
        <w:tc>
          <w:tcPr>
            <w:tcW w:w="1458" w:type="dxa"/>
          </w:tcPr>
          <w:p w:rsidR="00345538" w:rsidRDefault="00345538" w:rsidP="000F12D6">
            <w:pPr>
              <w:pStyle w:val="BodyText"/>
            </w:pPr>
            <w:r>
              <w:t>Flat</w:t>
            </w:r>
          </w:p>
        </w:tc>
        <w:tc>
          <w:tcPr>
            <w:tcW w:w="7398" w:type="dxa"/>
          </w:tcPr>
          <w:p w:rsidR="00345538" w:rsidRDefault="00345538" w:rsidP="000F12D6">
            <w:pPr>
              <w:pStyle w:val="BodyText"/>
            </w:pPr>
            <w:r>
              <w:t>Indicates if the rate is flat rate per skid</w:t>
            </w:r>
            <w:r w:rsidR="00DF5028">
              <w:t>. If so each column of rates will contain rates for the number of skids shown in the header.</w:t>
            </w:r>
          </w:p>
        </w:tc>
      </w:tr>
      <w:tr w:rsidR="00345538" w:rsidTr="00DF5028">
        <w:tc>
          <w:tcPr>
            <w:tcW w:w="1458" w:type="dxa"/>
          </w:tcPr>
          <w:p w:rsidR="00345538" w:rsidRDefault="00345538" w:rsidP="000F12D6">
            <w:pPr>
              <w:pStyle w:val="BodyText"/>
            </w:pPr>
            <w:r>
              <w:t>Origin</w:t>
            </w:r>
          </w:p>
        </w:tc>
        <w:tc>
          <w:tcPr>
            <w:tcW w:w="7398" w:type="dxa"/>
          </w:tcPr>
          <w:p w:rsidR="00345538" w:rsidRDefault="00345538" w:rsidP="000F12D6">
            <w:pPr>
              <w:pStyle w:val="BodyText"/>
            </w:pPr>
            <w:r>
              <w:t>Identifies the origin for all of the rates in the spreadsheet.</w:t>
            </w:r>
          </w:p>
        </w:tc>
      </w:tr>
      <w:tr w:rsidR="00345538" w:rsidTr="00DF5028">
        <w:tc>
          <w:tcPr>
            <w:tcW w:w="1458" w:type="dxa"/>
          </w:tcPr>
          <w:p w:rsidR="00345538" w:rsidRDefault="00345538" w:rsidP="000F12D6">
            <w:pPr>
              <w:pStyle w:val="BodyText"/>
            </w:pPr>
            <w:r>
              <w:t>UOM</w:t>
            </w:r>
          </w:p>
        </w:tc>
        <w:tc>
          <w:tcPr>
            <w:tcW w:w="7398" w:type="dxa"/>
          </w:tcPr>
          <w:p w:rsidR="00345538" w:rsidRDefault="00345538" w:rsidP="000F12D6">
            <w:pPr>
              <w:pStyle w:val="BodyText"/>
            </w:pPr>
            <w:r>
              <w:t>Indicates the unit of measure</w:t>
            </w:r>
            <w:r w:rsidR="00DF5028">
              <w:t>. In this case "skid".</w:t>
            </w:r>
          </w:p>
        </w:tc>
      </w:tr>
      <w:tr w:rsidR="00D84D6A" w:rsidTr="00DF5028">
        <w:tc>
          <w:tcPr>
            <w:tcW w:w="1458" w:type="dxa"/>
          </w:tcPr>
          <w:p w:rsidR="00D84D6A" w:rsidRDefault="00D84D6A" w:rsidP="000F12D6">
            <w:pPr>
              <w:pStyle w:val="BodyText"/>
            </w:pPr>
            <w:r>
              <w:t>Commodity</w:t>
            </w:r>
          </w:p>
        </w:tc>
        <w:tc>
          <w:tcPr>
            <w:tcW w:w="7398" w:type="dxa"/>
          </w:tcPr>
          <w:p w:rsidR="00D84D6A" w:rsidRDefault="00D84D6A" w:rsidP="000F12D6">
            <w:pPr>
              <w:pStyle w:val="BodyText"/>
            </w:pPr>
            <w:r>
              <w:t>Commodity code to use for the rates</w:t>
            </w:r>
            <w:r w:rsidR="00950C1B">
              <w:t>. If not present the system will use "*".</w:t>
            </w:r>
          </w:p>
        </w:tc>
      </w:tr>
      <w:tr w:rsidR="00D84D6A" w:rsidTr="00DF5028">
        <w:tc>
          <w:tcPr>
            <w:tcW w:w="1458" w:type="dxa"/>
          </w:tcPr>
          <w:p w:rsidR="00D84D6A" w:rsidRDefault="00D84D6A" w:rsidP="000F12D6">
            <w:pPr>
              <w:pStyle w:val="BodyText"/>
            </w:pPr>
            <w:r>
              <w:t>Origin</w:t>
            </w:r>
          </w:p>
        </w:tc>
        <w:tc>
          <w:tcPr>
            <w:tcW w:w="7398" w:type="dxa"/>
          </w:tcPr>
          <w:p w:rsidR="00D84D6A" w:rsidRDefault="00D84D6A" w:rsidP="000F12D6">
            <w:pPr>
              <w:pStyle w:val="BodyText"/>
            </w:pPr>
            <w:r>
              <w:t>The origin location for the rate sheet. eg: Toronto, ON (include both the city and state or province).</w:t>
            </w:r>
          </w:p>
        </w:tc>
      </w:tr>
      <w:tr w:rsidR="00345538" w:rsidTr="00DF5028">
        <w:tc>
          <w:tcPr>
            <w:tcW w:w="1458" w:type="dxa"/>
          </w:tcPr>
          <w:p w:rsidR="00345538" w:rsidRDefault="00345538" w:rsidP="000F12D6">
            <w:pPr>
              <w:pStyle w:val="BodyText"/>
            </w:pPr>
            <w:r>
              <w:t>Over 12</w:t>
            </w:r>
          </w:p>
        </w:tc>
        <w:tc>
          <w:tcPr>
            <w:tcW w:w="7398" w:type="dxa"/>
          </w:tcPr>
          <w:p w:rsidR="00345538" w:rsidRDefault="00DF5028" w:rsidP="000F12D6">
            <w:pPr>
              <w:pStyle w:val="BodyText"/>
            </w:pPr>
            <w:r>
              <w:t>The per unit rate above this number of units (eg @25 per skid over 12 skids).</w:t>
            </w:r>
          </w:p>
        </w:tc>
      </w:tr>
      <w:tr w:rsidR="00345538" w:rsidTr="00DF5028">
        <w:tc>
          <w:tcPr>
            <w:tcW w:w="1458" w:type="dxa"/>
          </w:tcPr>
          <w:p w:rsidR="00345538" w:rsidRDefault="00345538" w:rsidP="000F12D6">
            <w:pPr>
              <w:pStyle w:val="BodyText"/>
            </w:pPr>
            <w:r>
              <w:lastRenderedPageBreak/>
              <w:t>Destination</w:t>
            </w:r>
          </w:p>
        </w:tc>
        <w:tc>
          <w:tcPr>
            <w:tcW w:w="7398" w:type="dxa"/>
          </w:tcPr>
          <w:p w:rsidR="00345538" w:rsidRDefault="00DF5028" w:rsidP="000F12D6">
            <w:pPr>
              <w:pStyle w:val="BodyText"/>
            </w:pPr>
            <w:r>
              <w:t>This keyword denotes the end of the header keywords and the beginning of the rate data</w:t>
            </w:r>
            <w:r w:rsidR="00D84D6A">
              <w:t>. On the same row, the columns "B" to the end should contain the break levels (flat is generally by skid, whereas per hundredweight would show the weight breaks.</w:t>
            </w:r>
          </w:p>
        </w:tc>
      </w:tr>
    </w:tbl>
    <w:p w:rsidR="00345538" w:rsidRDefault="00345538" w:rsidP="000F12D6">
      <w:pPr>
        <w:pStyle w:val="BodyText"/>
      </w:pPr>
    </w:p>
    <w:p w:rsidR="00DF5028" w:rsidRDefault="00DF5028" w:rsidP="000F12D6">
      <w:pPr>
        <w:pStyle w:val="BodyText"/>
      </w:pPr>
      <w:r>
        <w:t>Each line after the destination keyword will create a flat rate for the destination identified in column A, for the number of skids described in each of the remaining columns.</w:t>
      </w:r>
    </w:p>
    <w:p w:rsidR="00D84D6A" w:rsidRDefault="00D84D6A" w:rsidP="000F12D6">
      <w:pPr>
        <w:pStyle w:val="BodyText"/>
      </w:pPr>
      <w:r>
        <w:t xml:space="preserve">NOTE: If the unit of measure is per Hundred-Weight (cwt), then the rates for each break level should be expressed in cents per hundredweight, with no decimals. </w:t>
      </w:r>
    </w:p>
    <w:p w:rsidR="00D84D6A" w:rsidRPr="000F12D6" w:rsidRDefault="00D84D6A" w:rsidP="000F12D6">
      <w:pPr>
        <w:pStyle w:val="BodyText"/>
      </w:pPr>
      <w:r>
        <w:t>* The minimum charge however, in the column headed "MIN", should be expressed in dollars and cents, regardless of the unit of measure chosen.</w:t>
      </w:r>
    </w:p>
    <w:p w:rsidR="000F12D6" w:rsidRDefault="002D0525" w:rsidP="000F12D6">
      <w:pPr>
        <w:pStyle w:val="BodyText"/>
      </w:pPr>
      <w:r>
        <w:t>NOTE: If any of the destination cities do NOT have a state or province code associated with the</w:t>
      </w:r>
      <w:r w:rsidR="00A2076F">
        <w:t>m, the state or province will be</w:t>
      </w:r>
      <w:r>
        <w:t xml:space="preserve"> assumed to be the same as that of the previous province or state. This includes the state or province identified with the origin keyword. In other words, if no provinces/states are identified in the cities of the destination column, they will be assigned the province/state of the origin city. </w:t>
      </w:r>
    </w:p>
    <w:p w:rsidR="000F12D6" w:rsidRDefault="006362A8" w:rsidP="006362A8">
      <w:pPr>
        <w:pStyle w:val="Heading1"/>
      </w:pPr>
      <w:r>
        <w:t>LTL Weight Breaks</w:t>
      </w:r>
    </w:p>
    <w:p w:rsidR="000A74F7" w:rsidRDefault="000A74F7" w:rsidP="000A74F7">
      <w:pPr>
        <w:pStyle w:val="Heading2"/>
      </w:pPr>
      <w:r>
        <w:t>Additional Keywords relating to CWT Weight breaks</w:t>
      </w:r>
    </w:p>
    <w:tbl>
      <w:tblPr>
        <w:tblStyle w:val="TableGrid3"/>
        <w:tblW w:w="0" w:type="auto"/>
        <w:tblLook w:val="04A0" w:firstRow="1" w:lastRow="0" w:firstColumn="1" w:lastColumn="0" w:noHBand="0" w:noVBand="1"/>
      </w:tblPr>
      <w:tblGrid>
        <w:gridCol w:w="1458"/>
        <w:gridCol w:w="7398"/>
      </w:tblGrid>
      <w:tr w:rsidR="000A74F7" w:rsidTr="0080058B">
        <w:trPr>
          <w:cnfStyle w:val="100000000000" w:firstRow="1" w:lastRow="0" w:firstColumn="0" w:lastColumn="0" w:oddVBand="0" w:evenVBand="0" w:oddHBand="0" w:evenHBand="0" w:firstRowFirstColumn="0" w:firstRowLastColumn="0" w:lastRowFirstColumn="0" w:lastRowLastColumn="0"/>
        </w:trPr>
        <w:tc>
          <w:tcPr>
            <w:tcW w:w="1458" w:type="dxa"/>
          </w:tcPr>
          <w:p w:rsidR="000A74F7" w:rsidRDefault="000A74F7" w:rsidP="0080058B">
            <w:pPr>
              <w:pStyle w:val="BodyText"/>
            </w:pPr>
            <w:r>
              <w:t>Keyword</w:t>
            </w:r>
          </w:p>
        </w:tc>
        <w:tc>
          <w:tcPr>
            <w:tcW w:w="7398" w:type="dxa"/>
          </w:tcPr>
          <w:p w:rsidR="000A74F7" w:rsidRDefault="000A74F7" w:rsidP="0080058B">
            <w:pPr>
              <w:pStyle w:val="BodyText"/>
            </w:pPr>
            <w:r>
              <w:t>Description</w:t>
            </w:r>
          </w:p>
        </w:tc>
      </w:tr>
      <w:tr w:rsidR="000A74F7" w:rsidTr="0080058B">
        <w:tc>
          <w:tcPr>
            <w:tcW w:w="1458" w:type="dxa"/>
          </w:tcPr>
          <w:p w:rsidR="000A74F7" w:rsidRDefault="000A74F7" w:rsidP="0080058B">
            <w:pPr>
              <w:pStyle w:val="BodyText"/>
            </w:pPr>
            <w:r>
              <w:t>Maxflat</w:t>
            </w:r>
          </w:p>
        </w:tc>
        <w:tc>
          <w:tcPr>
            <w:tcW w:w="7398" w:type="dxa"/>
          </w:tcPr>
          <w:p w:rsidR="000A74F7" w:rsidRDefault="000A74F7" w:rsidP="0080058B">
            <w:pPr>
              <w:pStyle w:val="BodyText"/>
            </w:pPr>
            <w:r>
              <w:t>This keyword identifies the case where the maximum T/L rate is expressed as a flat rate as opposed to a rate per hundredweight.</w:t>
            </w:r>
          </w:p>
        </w:tc>
      </w:tr>
    </w:tbl>
    <w:p w:rsidR="000A74F7" w:rsidRPr="000A74F7" w:rsidRDefault="000A74F7" w:rsidP="000A74F7">
      <w:pPr>
        <w:pStyle w:val="BodyText"/>
      </w:pPr>
    </w:p>
    <w:p w:rsidR="006362A8" w:rsidRDefault="006362A8" w:rsidP="006362A8">
      <w:pPr>
        <w:pStyle w:val="BodyText"/>
      </w:pPr>
      <w:r>
        <w:rPr>
          <w:noProof/>
        </w:rPr>
        <w:drawing>
          <wp:inline distT="0" distB="0" distL="0" distR="0">
            <wp:extent cx="4229100" cy="10858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229100" cy="1085850"/>
                    </a:xfrm>
                    <a:prstGeom prst="rect">
                      <a:avLst/>
                    </a:prstGeom>
                    <a:noFill/>
                    <a:ln w="9525">
                      <a:noFill/>
                      <a:miter lim="800000"/>
                      <a:headEnd/>
                      <a:tailEnd/>
                    </a:ln>
                  </pic:spPr>
                </pic:pic>
              </a:graphicData>
            </a:graphic>
          </wp:inline>
        </w:drawing>
      </w:r>
    </w:p>
    <w:p w:rsidR="006362A8" w:rsidRDefault="006362A8" w:rsidP="006362A8">
      <w:pPr>
        <w:pStyle w:val="BodyText"/>
      </w:pPr>
      <w:r>
        <w:t>In the above example, the UOM Keyword indicates rates per hundredweight. Valid column headings are:</w:t>
      </w:r>
    </w:p>
    <w:tbl>
      <w:tblPr>
        <w:tblStyle w:val="TableGrid3"/>
        <w:tblW w:w="0" w:type="auto"/>
        <w:tblLook w:val="04A0" w:firstRow="1" w:lastRow="0" w:firstColumn="1" w:lastColumn="0" w:noHBand="0" w:noVBand="1"/>
      </w:tblPr>
      <w:tblGrid>
        <w:gridCol w:w="1818"/>
        <w:gridCol w:w="7038"/>
      </w:tblGrid>
      <w:tr w:rsidR="006362A8" w:rsidTr="006362A8">
        <w:trPr>
          <w:cnfStyle w:val="100000000000" w:firstRow="1" w:lastRow="0" w:firstColumn="0" w:lastColumn="0" w:oddVBand="0" w:evenVBand="0" w:oddHBand="0" w:evenHBand="0" w:firstRowFirstColumn="0" w:firstRowLastColumn="0" w:lastRowFirstColumn="0" w:lastRowLastColumn="0"/>
        </w:trPr>
        <w:tc>
          <w:tcPr>
            <w:tcW w:w="1818" w:type="dxa"/>
          </w:tcPr>
          <w:p w:rsidR="006362A8" w:rsidRDefault="006362A8" w:rsidP="006362A8">
            <w:pPr>
              <w:pStyle w:val="BodyText"/>
            </w:pPr>
            <w:r>
              <w:t>Column Heading</w:t>
            </w:r>
          </w:p>
        </w:tc>
        <w:tc>
          <w:tcPr>
            <w:tcW w:w="7038" w:type="dxa"/>
          </w:tcPr>
          <w:p w:rsidR="006362A8" w:rsidRDefault="006362A8" w:rsidP="006362A8">
            <w:pPr>
              <w:pStyle w:val="BodyText"/>
            </w:pPr>
            <w:r>
              <w:t>What it means</w:t>
            </w:r>
          </w:p>
        </w:tc>
      </w:tr>
      <w:tr w:rsidR="006362A8" w:rsidTr="006362A8">
        <w:tc>
          <w:tcPr>
            <w:tcW w:w="1818" w:type="dxa"/>
          </w:tcPr>
          <w:p w:rsidR="006362A8" w:rsidRDefault="006362A8" w:rsidP="006362A8">
            <w:pPr>
              <w:pStyle w:val="BodyText"/>
            </w:pPr>
            <w:r>
              <w:t>MIN</w:t>
            </w:r>
          </w:p>
        </w:tc>
        <w:tc>
          <w:tcPr>
            <w:tcW w:w="7038" w:type="dxa"/>
          </w:tcPr>
          <w:p w:rsidR="006362A8" w:rsidRDefault="006362A8" w:rsidP="006362A8">
            <w:pPr>
              <w:pStyle w:val="BodyText"/>
            </w:pPr>
            <w:r>
              <w:t>This contains the minimum charge for the origin/destination.</w:t>
            </w:r>
            <w:r w:rsidR="00D84D6A">
              <w:t xml:space="preserve"> Always in dollars and cents, eg. 35.00 and not 3500.</w:t>
            </w:r>
          </w:p>
          <w:p w:rsidR="00D84D6A" w:rsidRDefault="00D84D6A" w:rsidP="006362A8">
            <w:pPr>
              <w:pStyle w:val="BodyText"/>
            </w:pPr>
            <w:r>
              <w:t>If the unit of measure selected is "CWT", then the rest of the columns should be in cents per hundredweight. EG. 3500, not 35.00.</w:t>
            </w:r>
          </w:p>
        </w:tc>
      </w:tr>
      <w:tr w:rsidR="006362A8" w:rsidTr="006362A8">
        <w:tc>
          <w:tcPr>
            <w:tcW w:w="1818" w:type="dxa"/>
          </w:tcPr>
          <w:p w:rsidR="006362A8" w:rsidRDefault="006362A8" w:rsidP="006362A8">
            <w:pPr>
              <w:pStyle w:val="BodyText"/>
            </w:pPr>
            <w:r>
              <w:t>LTL</w:t>
            </w:r>
          </w:p>
        </w:tc>
        <w:tc>
          <w:tcPr>
            <w:tcW w:w="7038" w:type="dxa"/>
          </w:tcPr>
          <w:p w:rsidR="006362A8" w:rsidRDefault="006362A8" w:rsidP="006362A8">
            <w:pPr>
              <w:pStyle w:val="BodyText"/>
            </w:pPr>
            <w:r>
              <w:t>In LTL "Parlance" this means any</w:t>
            </w:r>
            <w:r w:rsidR="009E0102">
              <w:t xml:space="preserve"> </w:t>
            </w:r>
            <w:bookmarkStart w:id="0" w:name="_GoBack"/>
            <w:bookmarkEnd w:id="0"/>
            <w:r>
              <w:t>weight up to, but not including, the next column heading. In this example 0-499 lbs.</w:t>
            </w:r>
          </w:p>
        </w:tc>
      </w:tr>
      <w:tr w:rsidR="006362A8" w:rsidTr="006362A8">
        <w:tc>
          <w:tcPr>
            <w:tcW w:w="1818" w:type="dxa"/>
          </w:tcPr>
          <w:p w:rsidR="006362A8" w:rsidRDefault="006362A8" w:rsidP="006362A8">
            <w:pPr>
              <w:pStyle w:val="BodyText"/>
            </w:pPr>
            <w:r>
              <w:t>500</w:t>
            </w:r>
          </w:p>
        </w:tc>
        <w:tc>
          <w:tcPr>
            <w:tcW w:w="7038" w:type="dxa"/>
          </w:tcPr>
          <w:p w:rsidR="006362A8" w:rsidRDefault="006362A8" w:rsidP="006362A8">
            <w:pPr>
              <w:pStyle w:val="BodyText"/>
            </w:pPr>
            <w:r>
              <w:t>Weights beginning at 500 up to, but not including the next column. Eg. 500-999 lbs.</w:t>
            </w:r>
          </w:p>
        </w:tc>
      </w:tr>
      <w:tr w:rsidR="006362A8" w:rsidTr="006362A8">
        <w:tc>
          <w:tcPr>
            <w:tcW w:w="1818" w:type="dxa"/>
          </w:tcPr>
          <w:p w:rsidR="006362A8" w:rsidRDefault="006362A8" w:rsidP="006362A8">
            <w:pPr>
              <w:pStyle w:val="BodyText"/>
            </w:pPr>
            <w:r>
              <w:t>1M, 2M, 5M, etc.</w:t>
            </w:r>
          </w:p>
        </w:tc>
        <w:tc>
          <w:tcPr>
            <w:tcW w:w="7038" w:type="dxa"/>
          </w:tcPr>
          <w:p w:rsidR="006362A8" w:rsidRDefault="006362A8" w:rsidP="000A74F7">
            <w:pPr>
              <w:pStyle w:val="BodyText"/>
            </w:pPr>
            <w:r>
              <w:t xml:space="preserve">In LTL Parlance, the "M" stands for 1,000 so 1M is interpreted as 1000. </w:t>
            </w:r>
            <w:r w:rsidR="000A74F7">
              <w:t xml:space="preserve">Use the "M" keyword to denote breaks beginning with this weight (as opposed to ending with the </w:t>
            </w:r>
            <w:r w:rsidR="000A74F7">
              <w:lastRenderedPageBreak/>
              <w:t>weight).</w:t>
            </w:r>
          </w:p>
        </w:tc>
      </w:tr>
      <w:tr w:rsidR="006362A8" w:rsidTr="006362A8">
        <w:tc>
          <w:tcPr>
            <w:tcW w:w="1818" w:type="dxa"/>
          </w:tcPr>
          <w:p w:rsidR="006362A8" w:rsidRDefault="006362A8" w:rsidP="006362A8">
            <w:pPr>
              <w:pStyle w:val="BodyText"/>
            </w:pPr>
            <w:r>
              <w:lastRenderedPageBreak/>
              <w:t>T/L</w:t>
            </w:r>
          </w:p>
        </w:tc>
        <w:tc>
          <w:tcPr>
            <w:tcW w:w="7038" w:type="dxa"/>
          </w:tcPr>
          <w:p w:rsidR="006362A8" w:rsidRDefault="006362A8" w:rsidP="008C709E">
            <w:pPr>
              <w:pStyle w:val="BodyText"/>
            </w:pPr>
            <w:r>
              <w:t xml:space="preserve">Often means the full truck load weight, but is interpreted as anything from </w:t>
            </w:r>
            <w:r w:rsidR="001966F8">
              <w:t>40,000lbs and beyond.</w:t>
            </w:r>
            <w:r w:rsidR="008C709E">
              <w:t xml:space="preserve"> NOTE: you should always have a T/L column. This triggers a maximum weight break of up to 99999. If you do not have a T/L column, just repeat values from your last break column in the T/L column, in order to get the correct results.</w:t>
            </w:r>
          </w:p>
        </w:tc>
      </w:tr>
    </w:tbl>
    <w:p w:rsidR="00E67411" w:rsidRDefault="001966F8" w:rsidP="001966F8">
      <w:pPr>
        <w:pStyle w:val="Heading1"/>
      </w:pPr>
      <w:r>
        <w:t xml:space="preserve">Service Type </w:t>
      </w:r>
      <w:r w:rsidR="00422DE2">
        <w:t xml:space="preserve">"Messenger" </w:t>
      </w:r>
      <w:r>
        <w:t>Rates</w:t>
      </w:r>
    </w:p>
    <w:p w:rsidR="001966F8" w:rsidRDefault="001966F8" w:rsidP="001966F8">
      <w:pPr>
        <w:pStyle w:val="BodyText"/>
      </w:pPr>
      <w:r>
        <w:t>A special keyword - "SVC" or "TMX" - has been introduced to allow for the upload of service type rates where the rows identify a zone location, and the columns identify service types. Keywords for BILLTO, EFFECTIVE, EXPIRY, etc. all behave the same as for the other rate upload types. (Note that the BILLTO Keyword can have a group code as its value.)</w:t>
      </w:r>
      <w:r w:rsidR="002D1B24">
        <w:t xml:space="preserve"> The "Origin" keyword denotes a zone code. The column headings DR,RS,RG,SD, and ON, denote service type codes for the rate in each corresponding column.</w:t>
      </w:r>
    </w:p>
    <w:p w:rsidR="002D1B24" w:rsidRDefault="002D1B24" w:rsidP="001966F8">
      <w:pPr>
        <w:pStyle w:val="BodyText"/>
      </w:pPr>
      <w:r>
        <w:t>The keyword 'Zone' appearing in column 1 triggers the upload to look for a rate in cells 3 and beyond, assigning the rate to the corresponding service code.</w:t>
      </w:r>
    </w:p>
    <w:p w:rsidR="002D1B24" w:rsidRDefault="002D1B24" w:rsidP="001966F8">
      <w:pPr>
        <w:pStyle w:val="BodyText"/>
      </w:pPr>
      <w:r>
        <w:t xml:space="preserve">As a convenience, the Zone itself is currently hardcoded from 1-17 in this order: </w:t>
      </w:r>
      <w:r w:rsidRPr="002D1B24">
        <w:t>610,420,410,220,210,120,110,230,310,810,620,240,430,101,250,710,510</w:t>
      </w:r>
    </w:p>
    <w:p w:rsidR="001966F8" w:rsidRDefault="001966F8" w:rsidP="001966F8">
      <w:pPr>
        <w:pStyle w:val="BodyText"/>
      </w:pPr>
      <w:r>
        <w:rPr>
          <w:noProof/>
        </w:rPr>
        <w:drawing>
          <wp:inline distT="0" distB="0" distL="0" distR="0">
            <wp:extent cx="5486400" cy="2749187"/>
            <wp:effectExtent l="1905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486400" cy="2749187"/>
                    </a:xfrm>
                    <a:prstGeom prst="rect">
                      <a:avLst/>
                    </a:prstGeom>
                    <a:noFill/>
                    <a:ln w="9525">
                      <a:noFill/>
                      <a:miter lim="800000"/>
                      <a:headEnd/>
                      <a:tailEnd/>
                    </a:ln>
                  </pic:spPr>
                </pic:pic>
              </a:graphicData>
            </a:graphic>
          </wp:inline>
        </w:drawing>
      </w:r>
    </w:p>
    <w:p w:rsidR="00422DE2" w:rsidRDefault="00422DE2">
      <w:pPr>
        <w:ind w:left="0"/>
      </w:pPr>
      <w:r>
        <w:br w:type="page"/>
      </w:r>
    </w:p>
    <w:p w:rsidR="001966F8" w:rsidRDefault="00422DE2" w:rsidP="00422DE2">
      <w:pPr>
        <w:pStyle w:val="Heading1"/>
      </w:pPr>
      <w:r>
        <w:lastRenderedPageBreak/>
        <w:t>Service Type Skid Rates</w:t>
      </w:r>
    </w:p>
    <w:p w:rsidR="00422DE2" w:rsidRDefault="00422DE2" w:rsidP="00422DE2">
      <w:pPr>
        <w:pStyle w:val="BodyText"/>
      </w:pPr>
      <w:r>
        <w:t>These rate types are per skid by zone and by service level, with an additional charge per extra skid for each service level:</w:t>
      </w:r>
    </w:p>
    <w:p w:rsidR="00422DE2" w:rsidRDefault="00D63393" w:rsidP="00422DE2">
      <w:pPr>
        <w:pStyle w:val="BodyText"/>
      </w:pPr>
      <w:r>
        <w:rPr>
          <w:noProof/>
        </w:rPr>
        <w:drawing>
          <wp:inline distT="0" distB="0" distL="0" distR="0">
            <wp:extent cx="5390515" cy="3891280"/>
            <wp:effectExtent l="1905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5390515" cy="3891280"/>
                    </a:xfrm>
                    <a:prstGeom prst="rect">
                      <a:avLst/>
                    </a:prstGeom>
                    <a:noFill/>
                    <a:ln w="9525">
                      <a:noFill/>
                      <a:miter lim="800000"/>
                      <a:headEnd/>
                      <a:tailEnd/>
                    </a:ln>
                  </pic:spPr>
                </pic:pic>
              </a:graphicData>
            </a:graphic>
          </wp:inline>
        </w:drawing>
      </w:r>
    </w:p>
    <w:p w:rsidR="00422DE2" w:rsidRDefault="00422DE2" w:rsidP="00422DE2">
      <w:pPr>
        <w:pStyle w:val="BodyText"/>
      </w:pPr>
    </w:p>
    <w:p w:rsidR="00422DE2" w:rsidRDefault="00422DE2" w:rsidP="00422DE2">
      <w:pPr>
        <w:pStyle w:val="BodyText"/>
        <w:rPr>
          <w:noProof/>
        </w:rPr>
      </w:pPr>
      <w:r>
        <w:rPr>
          <w:noProof/>
        </w:rPr>
        <w:t>Significant keywords t</w:t>
      </w:r>
      <w:r w:rsidR="00D63393">
        <w:rPr>
          <w:noProof/>
        </w:rPr>
        <w:t>hat</w:t>
      </w:r>
      <w:r>
        <w:rPr>
          <w:noProof/>
        </w:rPr>
        <w:t xml:space="preserve"> control the upload are as follows:</w:t>
      </w:r>
    </w:p>
    <w:tbl>
      <w:tblPr>
        <w:tblStyle w:val="TableGrid3"/>
        <w:tblW w:w="0" w:type="auto"/>
        <w:tblLook w:val="04A0" w:firstRow="1" w:lastRow="0" w:firstColumn="1" w:lastColumn="0" w:noHBand="0" w:noVBand="1"/>
      </w:tblPr>
      <w:tblGrid>
        <w:gridCol w:w="2178"/>
        <w:gridCol w:w="6678"/>
      </w:tblGrid>
      <w:tr w:rsidR="00422DE2" w:rsidTr="00950C1B">
        <w:trPr>
          <w:cnfStyle w:val="100000000000" w:firstRow="1" w:lastRow="0" w:firstColumn="0" w:lastColumn="0" w:oddVBand="0" w:evenVBand="0" w:oddHBand="0" w:evenHBand="0" w:firstRowFirstColumn="0" w:firstRowLastColumn="0" w:lastRowFirstColumn="0" w:lastRowLastColumn="0"/>
        </w:trPr>
        <w:tc>
          <w:tcPr>
            <w:tcW w:w="2178" w:type="dxa"/>
          </w:tcPr>
          <w:p w:rsidR="00422DE2" w:rsidRDefault="00422DE2" w:rsidP="00422DE2">
            <w:pPr>
              <w:pStyle w:val="BodyText"/>
            </w:pPr>
            <w:r>
              <w:t>Keyword</w:t>
            </w:r>
          </w:p>
        </w:tc>
        <w:tc>
          <w:tcPr>
            <w:tcW w:w="6678" w:type="dxa"/>
          </w:tcPr>
          <w:p w:rsidR="00422DE2" w:rsidRDefault="00422DE2" w:rsidP="00422DE2">
            <w:pPr>
              <w:pStyle w:val="BodyText"/>
            </w:pPr>
            <w:r>
              <w:t>Meaning</w:t>
            </w:r>
          </w:p>
        </w:tc>
      </w:tr>
      <w:tr w:rsidR="00422DE2" w:rsidTr="00950C1B">
        <w:tc>
          <w:tcPr>
            <w:tcW w:w="2178" w:type="dxa"/>
          </w:tcPr>
          <w:p w:rsidR="00422DE2" w:rsidRDefault="00422DE2" w:rsidP="00422DE2">
            <w:pPr>
              <w:pStyle w:val="BodyText"/>
            </w:pPr>
            <w:r>
              <w:t>SVC</w:t>
            </w:r>
          </w:p>
        </w:tc>
        <w:tc>
          <w:tcPr>
            <w:tcW w:w="6678" w:type="dxa"/>
          </w:tcPr>
          <w:p w:rsidR="00422DE2" w:rsidRDefault="00422DE2" w:rsidP="00422DE2">
            <w:pPr>
              <w:pStyle w:val="BodyText"/>
            </w:pPr>
            <w:r>
              <w:t>Indicates service type columns</w:t>
            </w:r>
            <w:r w:rsidR="00800C58">
              <w:t xml:space="preserve"> (you can also use "TMX")</w:t>
            </w:r>
          </w:p>
        </w:tc>
      </w:tr>
      <w:tr w:rsidR="00422DE2" w:rsidTr="00950C1B">
        <w:tc>
          <w:tcPr>
            <w:tcW w:w="2178" w:type="dxa"/>
          </w:tcPr>
          <w:p w:rsidR="00422DE2" w:rsidRDefault="00422DE2" w:rsidP="00422DE2">
            <w:pPr>
              <w:pStyle w:val="BodyText"/>
            </w:pPr>
            <w:r>
              <w:t>Billto</w:t>
            </w:r>
          </w:p>
        </w:tc>
        <w:tc>
          <w:tcPr>
            <w:tcW w:w="6678" w:type="dxa"/>
          </w:tcPr>
          <w:p w:rsidR="00422DE2" w:rsidRDefault="00D63393" w:rsidP="00422DE2">
            <w:pPr>
              <w:pStyle w:val="BodyText"/>
            </w:pPr>
            <w:r>
              <w:t>Billto code or rate group (eg.</w:t>
            </w:r>
            <w:r w:rsidR="00800C58">
              <w:t>. "T8</w:t>
            </w:r>
            <w:r>
              <w:t>")</w:t>
            </w:r>
          </w:p>
        </w:tc>
      </w:tr>
      <w:tr w:rsidR="00422DE2" w:rsidTr="00950C1B">
        <w:tc>
          <w:tcPr>
            <w:tcW w:w="2178" w:type="dxa"/>
          </w:tcPr>
          <w:p w:rsidR="00422DE2" w:rsidRDefault="00422DE2" w:rsidP="00422DE2">
            <w:pPr>
              <w:pStyle w:val="BodyText"/>
            </w:pPr>
            <w:r>
              <w:t>EFFECTIVE</w:t>
            </w:r>
          </w:p>
        </w:tc>
        <w:tc>
          <w:tcPr>
            <w:tcW w:w="6678" w:type="dxa"/>
          </w:tcPr>
          <w:p w:rsidR="00422DE2" w:rsidRDefault="00D63393" w:rsidP="00422DE2">
            <w:pPr>
              <w:pStyle w:val="BodyText"/>
            </w:pPr>
            <w:r>
              <w:t>Effective date</w:t>
            </w:r>
          </w:p>
        </w:tc>
      </w:tr>
      <w:tr w:rsidR="00422DE2" w:rsidTr="00950C1B">
        <w:tc>
          <w:tcPr>
            <w:tcW w:w="2178" w:type="dxa"/>
          </w:tcPr>
          <w:p w:rsidR="00422DE2" w:rsidRDefault="00422DE2" w:rsidP="00422DE2">
            <w:pPr>
              <w:pStyle w:val="BodyText"/>
            </w:pPr>
            <w:r>
              <w:t>EXPIRY</w:t>
            </w:r>
          </w:p>
        </w:tc>
        <w:tc>
          <w:tcPr>
            <w:tcW w:w="6678" w:type="dxa"/>
          </w:tcPr>
          <w:p w:rsidR="00422DE2" w:rsidRDefault="00D63393" w:rsidP="00422DE2">
            <w:pPr>
              <w:pStyle w:val="BodyText"/>
            </w:pPr>
            <w:r>
              <w:t>Expiry date, if not rates will remain in effect until a new effective date rate exists</w:t>
            </w:r>
          </w:p>
        </w:tc>
      </w:tr>
      <w:tr w:rsidR="00422DE2" w:rsidTr="00950C1B">
        <w:tc>
          <w:tcPr>
            <w:tcW w:w="2178" w:type="dxa"/>
          </w:tcPr>
          <w:p w:rsidR="00422DE2" w:rsidRDefault="00422DE2" w:rsidP="00422DE2">
            <w:pPr>
              <w:pStyle w:val="BodyText"/>
            </w:pPr>
            <w:r>
              <w:t>FLAT SKID RATES</w:t>
            </w:r>
          </w:p>
        </w:tc>
        <w:tc>
          <w:tcPr>
            <w:tcW w:w="6678" w:type="dxa"/>
          </w:tcPr>
          <w:p w:rsidR="00422DE2" w:rsidRDefault="00422DE2" w:rsidP="00422DE2">
            <w:pPr>
              <w:pStyle w:val="BodyText"/>
            </w:pPr>
            <w:r>
              <w:t>Indicates a flat rate per skid</w:t>
            </w:r>
          </w:p>
        </w:tc>
      </w:tr>
      <w:tr w:rsidR="00422DE2" w:rsidTr="00950C1B">
        <w:tc>
          <w:tcPr>
            <w:tcW w:w="2178" w:type="dxa"/>
          </w:tcPr>
          <w:p w:rsidR="00422DE2" w:rsidRDefault="00422DE2" w:rsidP="00422DE2">
            <w:pPr>
              <w:pStyle w:val="BodyText"/>
            </w:pPr>
            <w:r>
              <w:t>ORIGIN</w:t>
            </w:r>
          </w:p>
        </w:tc>
        <w:tc>
          <w:tcPr>
            <w:tcW w:w="6678" w:type="dxa"/>
          </w:tcPr>
          <w:p w:rsidR="00422DE2" w:rsidRDefault="00D63393" w:rsidP="00422DE2">
            <w:pPr>
              <w:pStyle w:val="BodyText"/>
            </w:pPr>
            <w:r>
              <w:t>Origin Zone</w:t>
            </w:r>
          </w:p>
        </w:tc>
      </w:tr>
      <w:tr w:rsidR="00422DE2" w:rsidTr="00950C1B">
        <w:tc>
          <w:tcPr>
            <w:tcW w:w="2178" w:type="dxa"/>
          </w:tcPr>
          <w:p w:rsidR="00422DE2" w:rsidRDefault="00422DE2" w:rsidP="00422DE2">
            <w:pPr>
              <w:pStyle w:val="BodyText"/>
            </w:pPr>
            <w:r>
              <w:t>UOM</w:t>
            </w:r>
          </w:p>
        </w:tc>
        <w:tc>
          <w:tcPr>
            <w:tcW w:w="6678" w:type="dxa"/>
          </w:tcPr>
          <w:p w:rsidR="00422DE2" w:rsidRDefault="00422DE2" w:rsidP="00422DE2">
            <w:pPr>
              <w:pStyle w:val="BodyText"/>
            </w:pPr>
            <w:r>
              <w:t>Skid</w:t>
            </w:r>
          </w:p>
        </w:tc>
      </w:tr>
      <w:tr w:rsidR="00422DE2" w:rsidTr="00950C1B">
        <w:tc>
          <w:tcPr>
            <w:tcW w:w="2178" w:type="dxa"/>
          </w:tcPr>
          <w:p w:rsidR="00422DE2" w:rsidRDefault="00D63393" w:rsidP="00422DE2">
            <w:pPr>
              <w:pStyle w:val="BodyText"/>
            </w:pPr>
            <w:r>
              <w:t>OVER n SKID(s)</w:t>
            </w:r>
          </w:p>
        </w:tc>
        <w:tc>
          <w:tcPr>
            <w:tcW w:w="6678" w:type="dxa"/>
          </w:tcPr>
          <w:p w:rsidR="00422DE2" w:rsidRDefault="00950C1B" w:rsidP="00D63393">
            <w:pPr>
              <w:pStyle w:val="BodyText"/>
            </w:pPr>
            <w:r>
              <w:t xml:space="preserve">A </w:t>
            </w:r>
            <w:r w:rsidR="00D63393">
              <w:t>keyword beginning with "OVER" indicates</w:t>
            </w:r>
            <w:r>
              <w:t xml:space="preserve"> amount</w:t>
            </w:r>
            <w:r w:rsidR="00D63393">
              <w:t>s</w:t>
            </w:r>
            <w:r>
              <w:t xml:space="preserve"> charged for </w:t>
            </w:r>
            <w:r w:rsidR="00D63393">
              <w:t>a number of skids greater than "n". T</w:t>
            </w:r>
            <w:r>
              <w:t xml:space="preserve">hese amounts need to be in the same columns as the </w:t>
            </w:r>
            <w:r>
              <w:lastRenderedPageBreak/>
              <w:t xml:space="preserve">service levels </w:t>
            </w:r>
            <w:r w:rsidR="00D63393">
              <w:t xml:space="preserve">to which they apply </w:t>
            </w:r>
            <w:r>
              <w:t>(</w:t>
            </w:r>
            <w:r w:rsidR="00D63393">
              <w:t xml:space="preserve">See "SERVICES" keyword) </w:t>
            </w:r>
          </w:p>
        </w:tc>
      </w:tr>
      <w:tr w:rsidR="00422DE2" w:rsidTr="00950C1B">
        <w:tc>
          <w:tcPr>
            <w:tcW w:w="2178" w:type="dxa"/>
          </w:tcPr>
          <w:p w:rsidR="00422DE2" w:rsidRDefault="00950C1B" w:rsidP="00422DE2">
            <w:pPr>
              <w:pStyle w:val="BodyText"/>
            </w:pPr>
            <w:r>
              <w:lastRenderedPageBreak/>
              <w:t>ACCESSORIAL(s)</w:t>
            </w:r>
          </w:p>
        </w:tc>
        <w:tc>
          <w:tcPr>
            <w:tcW w:w="6678" w:type="dxa"/>
          </w:tcPr>
          <w:p w:rsidR="00422DE2" w:rsidRDefault="00950C1B" w:rsidP="00422DE2">
            <w:pPr>
              <w:pStyle w:val="BodyText"/>
            </w:pPr>
            <w:r>
              <w:t>Indicates any accessorial charge(s) that can be conditionally charged. Specifically used for the extra skid weight accessorial.</w:t>
            </w:r>
            <w:r w:rsidR="00800C58">
              <w:t xml:space="preserve"> In the example above, "XSW" is the charge code used for Extra Skid Weight, which is set to 4cents/lb.</w:t>
            </w:r>
          </w:p>
        </w:tc>
      </w:tr>
      <w:tr w:rsidR="00422DE2" w:rsidTr="00950C1B">
        <w:tc>
          <w:tcPr>
            <w:tcW w:w="2178" w:type="dxa"/>
          </w:tcPr>
          <w:p w:rsidR="00422DE2" w:rsidRDefault="00950C1B" w:rsidP="00422DE2">
            <w:pPr>
              <w:pStyle w:val="BodyText"/>
            </w:pPr>
            <w:r>
              <w:t>MAX</w:t>
            </w:r>
          </w:p>
        </w:tc>
        <w:tc>
          <w:tcPr>
            <w:tcW w:w="6678" w:type="dxa"/>
          </w:tcPr>
          <w:p w:rsidR="00422DE2" w:rsidRDefault="00950C1B" w:rsidP="00422DE2">
            <w:pPr>
              <w:pStyle w:val="BodyText"/>
            </w:pPr>
            <w:r>
              <w:t>Max Unit Weight - eg when  the maximum skid weight before extra weight is charged is 2000, the number 2000 would go in the 2nd column.</w:t>
            </w:r>
          </w:p>
        </w:tc>
      </w:tr>
      <w:tr w:rsidR="00422DE2" w:rsidTr="00950C1B">
        <w:tc>
          <w:tcPr>
            <w:tcW w:w="2178" w:type="dxa"/>
          </w:tcPr>
          <w:p w:rsidR="00422DE2" w:rsidRDefault="00950C1B" w:rsidP="00422DE2">
            <w:pPr>
              <w:pStyle w:val="BodyText"/>
            </w:pPr>
            <w:r>
              <w:t>SERVICES</w:t>
            </w:r>
          </w:p>
        </w:tc>
        <w:tc>
          <w:tcPr>
            <w:tcW w:w="6678" w:type="dxa"/>
          </w:tcPr>
          <w:p w:rsidR="00422DE2" w:rsidRDefault="00950C1B" w:rsidP="00950C1B">
            <w:pPr>
              <w:pStyle w:val="BodyText"/>
            </w:pPr>
            <w:r>
              <w:t>Defines the service codes to use for each column amount</w:t>
            </w:r>
            <w:r w:rsidR="00800C58">
              <w:t xml:space="preserve"> in the same column as the rates.</w:t>
            </w:r>
          </w:p>
        </w:tc>
      </w:tr>
    </w:tbl>
    <w:p w:rsidR="00422DE2" w:rsidRDefault="00422DE2" w:rsidP="00422DE2">
      <w:pPr>
        <w:pStyle w:val="BodyText"/>
      </w:pPr>
    </w:p>
    <w:p w:rsidR="0075494D" w:rsidRDefault="0075494D">
      <w:pPr>
        <w:ind w:left="0"/>
      </w:pPr>
      <w:r>
        <w:br w:type="page"/>
      </w:r>
    </w:p>
    <w:p w:rsidR="0075494D" w:rsidRDefault="0075494D" w:rsidP="0075494D">
      <w:pPr>
        <w:pStyle w:val="Heading1"/>
      </w:pPr>
      <w:r>
        <w:lastRenderedPageBreak/>
        <w:t>Three-tiered skids rates</w:t>
      </w:r>
    </w:p>
    <w:p w:rsidR="0075494D" w:rsidRDefault="0075494D" w:rsidP="0075494D">
      <w:pPr>
        <w:pStyle w:val="BodyText"/>
      </w:pPr>
      <w:r>
        <w:t>These rates have 3 tiers based on the average skid rate. These rates are expected to extend from 1 to 20 skids.</w:t>
      </w:r>
    </w:p>
    <w:p w:rsidR="0075494D" w:rsidRDefault="0075494D" w:rsidP="0075494D">
      <w:pPr>
        <w:pStyle w:val="Heading2"/>
      </w:pPr>
      <w:r>
        <w:t>Header Keywords</w:t>
      </w:r>
    </w:p>
    <w:p w:rsidR="0075494D" w:rsidRDefault="0075494D" w:rsidP="0075494D">
      <w:pPr>
        <w:pStyle w:val="BodyText"/>
      </w:pPr>
      <w:r>
        <w:t>Additional header keywords control how the spreadsheet is processed:</w:t>
      </w:r>
    </w:p>
    <w:tbl>
      <w:tblPr>
        <w:tblStyle w:val="TableGrid3"/>
        <w:tblW w:w="0" w:type="auto"/>
        <w:tblLook w:val="04A0" w:firstRow="1" w:lastRow="0" w:firstColumn="1" w:lastColumn="0" w:noHBand="0" w:noVBand="1"/>
      </w:tblPr>
      <w:tblGrid>
        <w:gridCol w:w="2178"/>
        <w:gridCol w:w="6678"/>
      </w:tblGrid>
      <w:tr w:rsidR="0075494D" w:rsidTr="002C23F3">
        <w:trPr>
          <w:cnfStyle w:val="100000000000" w:firstRow="1" w:lastRow="0" w:firstColumn="0" w:lastColumn="0" w:oddVBand="0" w:evenVBand="0" w:oddHBand="0" w:evenHBand="0" w:firstRowFirstColumn="0" w:firstRowLastColumn="0" w:lastRowFirstColumn="0" w:lastRowLastColumn="0"/>
        </w:trPr>
        <w:tc>
          <w:tcPr>
            <w:tcW w:w="2178" w:type="dxa"/>
          </w:tcPr>
          <w:p w:rsidR="0075494D" w:rsidRDefault="0075494D" w:rsidP="002C23F3">
            <w:pPr>
              <w:pStyle w:val="BodyText"/>
            </w:pPr>
            <w:r>
              <w:t>Keyword</w:t>
            </w:r>
          </w:p>
        </w:tc>
        <w:tc>
          <w:tcPr>
            <w:tcW w:w="6678" w:type="dxa"/>
          </w:tcPr>
          <w:p w:rsidR="0075494D" w:rsidRDefault="0075494D" w:rsidP="002C23F3">
            <w:pPr>
              <w:pStyle w:val="BodyText"/>
            </w:pPr>
            <w:r>
              <w:t>Meaning</w:t>
            </w:r>
          </w:p>
        </w:tc>
      </w:tr>
      <w:tr w:rsidR="0075494D" w:rsidTr="002C23F3">
        <w:tc>
          <w:tcPr>
            <w:tcW w:w="2178" w:type="dxa"/>
          </w:tcPr>
          <w:p w:rsidR="0075494D" w:rsidRDefault="0075494D" w:rsidP="002C23F3">
            <w:pPr>
              <w:pStyle w:val="BodyText"/>
            </w:pPr>
            <w:r>
              <w:t>ORIGIN</w:t>
            </w:r>
          </w:p>
        </w:tc>
        <w:tc>
          <w:tcPr>
            <w:tcW w:w="6678" w:type="dxa"/>
          </w:tcPr>
          <w:p w:rsidR="0075494D" w:rsidRDefault="0075494D" w:rsidP="002C23F3">
            <w:pPr>
              <w:pStyle w:val="BodyText"/>
            </w:pPr>
            <w:r>
              <w:t>Origin Zone *Note the origin can also be changed within the spreadsheet data itself through use of either the keyword " to " between cities, and</w:t>
            </w:r>
            <w:r w:rsidR="002C23F3">
              <w:t xml:space="preserve"> "between ... and ".</w:t>
            </w:r>
          </w:p>
        </w:tc>
      </w:tr>
      <w:tr w:rsidR="002C23F3" w:rsidTr="002C23F3">
        <w:tc>
          <w:tcPr>
            <w:tcW w:w="2178" w:type="dxa"/>
          </w:tcPr>
          <w:p w:rsidR="002C23F3" w:rsidRDefault="002C23F3" w:rsidP="002C23F3">
            <w:pPr>
              <w:pStyle w:val="BodyText"/>
            </w:pPr>
            <w:r>
              <w:t>3-Tiered Weights</w:t>
            </w:r>
          </w:p>
        </w:tc>
        <w:tc>
          <w:tcPr>
            <w:tcW w:w="6678" w:type="dxa"/>
          </w:tcPr>
          <w:p w:rsidR="002C23F3" w:rsidRDefault="002C23F3" w:rsidP="002C23F3">
            <w:pPr>
              <w:pStyle w:val="BodyText"/>
            </w:pPr>
            <w:r>
              <w:t>Identifies that the rates are 3-tiered skid raters</w:t>
            </w:r>
          </w:p>
        </w:tc>
      </w:tr>
      <w:tr w:rsidR="002C23F3" w:rsidTr="002C23F3">
        <w:tc>
          <w:tcPr>
            <w:tcW w:w="2178" w:type="dxa"/>
          </w:tcPr>
          <w:p w:rsidR="002C23F3" w:rsidRDefault="002C23F3" w:rsidP="002C23F3">
            <w:pPr>
              <w:pStyle w:val="BodyText"/>
            </w:pPr>
            <w:r>
              <w:t>Revision</w:t>
            </w:r>
          </w:p>
        </w:tc>
        <w:tc>
          <w:tcPr>
            <w:tcW w:w="6678" w:type="dxa"/>
          </w:tcPr>
          <w:p w:rsidR="002C23F3" w:rsidRDefault="002C23F3" w:rsidP="002C23F3">
            <w:pPr>
              <w:pStyle w:val="BodyText"/>
            </w:pPr>
            <w:r>
              <w:t>Updates the revision field of the rate</w:t>
            </w:r>
          </w:p>
        </w:tc>
      </w:tr>
      <w:tr w:rsidR="002C23F3" w:rsidTr="002C23F3">
        <w:tc>
          <w:tcPr>
            <w:tcW w:w="2178" w:type="dxa"/>
          </w:tcPr>
          <w:p w:rsidR="002C23F3" w:rsidRDefault="002C23F3" w:rsidP="002C23F3">
            <w:pPr>
              <w:pStyle w:val="BodyText"/>
            </w:pPr>
            <w:r>
              <w:t>Reference</w:t>
            </w:r>
          </w:p>
        </w:tc>
        <w:tc>
          <w:tcPr>
            <w:tcW w:w="6678" w:type="dxa"/>
          </w:tcPr>
          <w:p w:rsidR="002C23F3" w:rsidRDefault="002C23F3" w:rsidP="002C23F3">
            <w:pPr>
              <w:pStyle w:val="BodyText"/>
            </w:pPr>
            <w:r>
              <w:t>Updates the reference field of the rate</w:t>
            </w:r>
          </w:p>
        </w:tc>
      </w:tr>
      <w:tr w:rsidR="002C23F3" w:rsidTr="002C23F3">
        <w:tc>
          <w:tcPr>
            <w:tcW w:w="2178" w:type="dxa"/>
          </w:tcPr>
          <w:p w:rsidR="002C23F3" w:rsidRDefault="002C23F3" w:rsidP="002C23F3">
            <w:pPr>
              <w:pStyle w:val="BodyText"/>
            </w:pPr>
            <w:r>
              <w:t>Reverse</w:t>
            </w:r>
          </w:p>
        </w:tc>
        <w:tc>
          <w:tcPr>
            <w:tcW w:w="6678" w:type="dxa"/>
          </w:tcPr>
          <w:p w:rsidR="002C23F3" w:rsidRDefault="002C23F3" w:rsidP="002C23F3">
            <w:pPr>
              <w:pStyle w:val="BodyText"/>
            </w:pPr>
            <w:r>
              <w:t>*Not</w:t>
            </w:r>
            <w:r w:rsidR="001C7726">
              <w:t xml:space="preserve">e that the rate's reversibility </w:t>
            </w:r>
            <w:r>
              <w:t xml:space="preserve">can be switched by use of the keyword "between  ...  and" when identifying </w:t>
            </w:r>
            <w:r w:rsidR="001C7726">
              <w:t>origin</w:t>
            </w:r>
            <w:r>
              <w:t xml:space="preserve"> and destination for a specific rate</w:t>
            </w:r>
            <w:r w:rsidR="001C7726">
              <w:t>. If the keywords " ... to ..." or "between ... and ..." are not used then the header value of the keyword will be used.</w:t>
            </w:r>
          </w:p>
        </w:tc>
      </w:tr>
    </w:tbl>
    <w:p w:rsidR="0075494D" w:rsidRDefault="0075494D" w:rsidP="0075494D">
      <w:pPr>
        <w:pStyle w:val="BodyText"/>
      </w:pPr>
    </w:p>
    <w:p w:rsidR="002C23F3" w:rsidRDefault="002C23F3" w:rsidP="002C23F3">
      <w:pPr>
        <w:pStyle w:val="Heading2"/>
      </w:pPr>
      <w:r>
        <w:t>Notes on spreadsheet requirements</w:t>
      </w:r>
    </w:p>
    <w:p w:rsidR="002C23F3" w:rsidRDefault="002C23F3" w:rsidP="002C23F3">
      <w:pPr>
        <w:pStyle w:val="BodyText"/>
      </w:pPr>
    </w:p>
    <w:p w:rsidR="002C23F3" w:rsidRDefault="002C23F3" w:rsidP="002C23F3">
      <w:pPr>
        <w:pStyle w:val="BodyText"/>
        <w:numPr>
          <w:ilvl w:val="0"/>
          <w:numId w:val="50"/>
        </w:numPr>
      </w:pPr>
      <w:r>
        <w:t xml:space="preserve">The </w:t>
      </w:r>
      <w:r w:rsidRPr="002C23F3">
        <w:rPr>
          <w:i/>
        </w:rPr>
        <w:t>DESTINATION</w:t>
      </w:r>
      <w:r>
        <w:t xml:space="preserve">  keyword is still the marker for the beginning of the rate data. However for 3-tiered rates, the actual rate data  lines are denoted by the presence of "999" or "000" somewhere in column "A" of the spreadsheet. (In single tiered skid rates the rate data is on each destination line.)</w:t>
      </w:r>
    </w:p>
    <w:p w:rsidR="002C23F3" w:rsidRDefault="002C23F3" w:rsidP="002C23F3">
      <w:pPr>
        <w:pStyle w:val="BodyText"/>
        <w:ind w:left="720"/>
      </w:pPr>
      <w:r>
        <w:t>The "999" or "000" corresponds to the description for each tier. (see sample screen-shot below)</w:t>
      </w:r>
    </w:p>
    <w:p w:rsidR="00E953C9" w:rsidRDefault="002C23F3" w:rsidP="00E953C9">
      <w:pPr>
        <w:pStyle w:val="BodyText"/>
        <w:numPr>
          <w:ilvl w:val="0"/>
          <w:numId w:val="50"/>
        </w:numPr>
      </w:pPr>
      <w:r>
        <w:t>The first time a column A is populated with non-blank data following the keyword "Destination" or at the end of a group of rate data lines emcompassing a rate MUST be the next lane. A lane can be simply a destination, which will then take its origin from the previous lane's origin, or the origin specified on the spreadsheet keywords.</w:t>
      </w:r>
      <w:r w:rsidR="00E953C9">
        <w:t xml:space="preserve"> If a lane is specified with an origin or destination it must be expressed as  "FROM-CITY to  TO-CITY, To-CITY" or "between FROM-CITY and TO-CITY". The former identifies a one-way rate. The latter defines a two-way "reversible rate.</w:t>
      </w:r>
    </w:p>
    <w:p w:rsidR="00E953C9" w:rsidRDefault="00E953C9" w:rsidP="00E953C9">
      <w:pPr>
        <w:pStyle w:val="BodyText"/>
        <w:numPr>
          <w:ilvl w:val="0"/>
          <w:numId w:val="50"/>
        </w:numPr>
      </w:pPr>
      <w:r>
        <w:t>If the Origin ("From City") province differs from the previous origin province, it must be defined with a colon followed by the 2-character province code.</w:t>
      </w:r>
      <w:r w:rsidR="001C7726">
        <w:t xml:space="preserve"> Example: </w:t>
      </w:r>
      <w:r w:rsidR="001C7726" w:rsidRPr="001C7726">
        <w:rPr>
          <w:b/>
        </w:rPr>
        <w:t>TORONTO:ON</w:t>
      </w:r>
      <w:r w:rsidR="001C7726">
        <w:t xml:space="preserve">. </w:t>
      </w:r>
      <w:r w:rsidR="00D06C4A">
        <w:t>(This is because a</w:t>
      </w:r>
      <w:r w:rsidR="001C7726">
        <w:t xml:space="preserve"> comma delimiter denotes an additional city</w:t>
      </w:r>
      <w:r w:rsidR="00D06C4A">
        <w:t xml:space="preserve"> in the destination</w:t>
      </w:r>
      <w:r w:rsidR="001C7726">
        <w:t>, so a different delimiter for province (or state) must be used.</w:t>
      </w:r>
      <w:r w:rsidR="00D06C4A">
        <w:t>)</w:t>
      </w:r>
      <w:r w:rsidR="001C7726">
        <w:t xml:space="preserve"> </w:t>
      </w:r>
      <w:r>
        <w:t xml:space="preserve"> If the Origin province code is left blank it will default to the previous origin province code.</w:t>
      </w:r>
    </w:p>
    <w:p w:rsidR="00E953C9" w:rsidRDefault="00E953C9" w:rsidP="00E953C9">
      <w:pPr>
        <w:pStyle w:val="BodyText"/>
        <w:numPr>
          <w:ilvl w:val="0"/>
          <w:numId w:val="50"/>
        </w:numPr>
      </w:pPr>
      <w:r>
        <w:t>If the Destination province is left blank</w:t>
      </w:r>
      <w:r w:rsidR="001C7726">
        <w:t xml:space="preserve"> (i.e. not defined via a colon) </w:t>
      </w:r>
      <w:r>
        <w:t xml:space="preserve"> it will default to the previous destination city province. If it is the very first lane in the spreadsheet it will default to the province of the origin lane.</w:t>
      </w:r>
    </w:p>
    <w:p w:rsidR="001C7726" w:rsidRDefault="001C7726" w:rsidP="00E953C9">
      <w:pPr>
        <w:pStyle w:val="BodyText"/>
        <w:numPr>
          <w:ilvl w:val="0"/>
          <w:numId w:val="50"/>
        </w:numPr>
      </w:pPr>
      <w:r>
        <w:t>Note that multiple destination cities can be defined, in which case the upload will create individual rates for each lane expressed by the comma-delimited list of destinations.</w:t>
      </w:r>
    </w:p>
    <w:p w:rsidR="008D2D54" w:rsidRDefault="008D2D54" w:rsidP="00E953C9">
      <w:pPr>
        <w:pStyle w:val="BodyText"/>
        <w:numPr>
          <w:ilvl w:val="0"/>
          <w:numId w:val="50"/>
        </w:numPr>
      </w:pPr>
      <w:r>
        <w:lastRenderedPageBreak/>
        <w:t>The entire origin &amp; list of destination cities should be expressed in a single cell, including the  "to" or "from...between" keywords.</w:t>
      </w:r>
    </w:p>
    <w:p w:rsidR="00E953C9" w:rsidRDefault="00E953C9" w:rsidP="00E953C9">
      <w:pPr>
        <w:pStyle w:val="BodyText"/>
        <w:numPr>
          <w:ilvl w:val="0"/>
          <w:numId w:val="50"/>
        </w:numPr>
      </w:pPr>
      <w:r>
        <w:t>The rate data is expected to be in two groups of three-tiers each. Group 1 is for 1-10 skids, and group 2 is for 11-20 skids. If there is no group for skids 11-20, then the end of the rate data MUST be made clear to the upload program by adding the keyword "end" at the end of the first group.</w:t>
      </w:r>
    </w:p>
    <w:p w:rsidR="00080799" w:rsidRDefault="00080799" w:rsidP="00E953C9">
      <w:pPr>
        <w:pStyle w:val="BodyText"/>
        <w:numPr>
          <w:ilvl w:val="0"/>
          <w:numId w:val="50"/>
        </w:numPr>
      </w:pPr>
      <w:r>
        <w:t>You cannot mix different types of rates in a spreadsheet.</w:t>
      </w:r>
    </w:p>
    <w:p w:rsidR="00E953C9" w:rsidRDefault="00E953C9" w:rsidP="00E953C9">
      <w:pPr>
        <w:pStyle w:val="BodyText"/>
      </w:pPr>
      <w:r>
        <w:t>The screenshot below shows examples of the structur</w:t>
      </w:r>
    </w:p>
    <w:p w:rsidR="002C23F3" w:rsidRPr="0075494D" w:rsidRDefault="002C23F3" w:rsidP="0075494D">
      <w:pPr>
        <w:pStyle w:val="BodyText"/>
      </w:pPr>
      <w:r>
        <w:rPr>
          <w:noProof/>
        </w:rPr>
        <w:drawing>
          <wp:inline distT="0" distB="0" distL="0" distR="0">
            <wp:extent cx="4465955" cy="461454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465955" cy="4614545"/>
                    </a:xfrm>
                    <a:prstGeom prst="rect">
                      <a:avLst/>
                    </a:prstGeom>
                    <a:noFill/>
                    <a:ln w="9525">
                      <a:noFill/>
                      <a:miter lim="800000"/>
                      <a:headEnd/>
                      <a:tailEnd/>
                    </a:ln>
                  </pic:spPr>
                </pic:pic>
              </a:graphicData>
            </a:graphic>
          </wp:inline>
        </w:drawing>
      </w:r>
    </w:p>
    <w:sectPr w:rsidR="002C23F3" w:rsidRPr="0075494D" w:rsidSect="0090183E">
      <w:headerReference w:type="even" r:id="rId12"/>
      <w:headerReference w:type="default" r:id="rId13"/>
      <w:footerReference w:type="even" r:id="rId14"/>
      <w:footerReference w:type="default" r:id="rId15"/>
      <w:headerReference w:type="first" r:id="rId16"/>
      <w:footerReference w:type="first" r:id="rId17"/>
      <w:type w:val="oddPage"/>
      <w:pgSz w:w="12240" w:h="15840" w:code="1"/>
      <w:pgMar w:top="1440" w:right="1800" w:bottom="1440" w:left="1800" w:header="720" w:footer="965" w:gutter="0"/>
      <w:pgNumType w:start="0"/>
      <w:cols w:space="24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410" w:rsidRDefault="003A4410">
      <w:r>
        <w:separator/>
      </w:r>
    </w:p>
  </w:endnote>
  <w:endnote w:type="continuationSeparator" w:id="0">
    <w:p w:rsidR="003A4410" w:rsidRDefault="003A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3C9" w:rsidRDefault="00E953C9">
    <w:pPr>
      <w:pStyle w:val="Footer"/>
      <w:pBdr>
        <w:top w:val="single" w:sz="6" w:space="1" w:color="auto"/>
      </w:pBdr>
    </w:pPr>
    <w:r>
      <w:t>Revision 2:</w:t>
    </w:r>
    <w:r>
      <w:tab/>
    </w:r>
    <w:r>
      <w:tab/>
      <w:t xml:space="preserve"> </w:t>
    </w:r>
    <w:r w:rsidR="003A4410">
      <w:fldChar w:fldCharType="begin"/>
    </w:r>
    <w:r w:rsidR="003A4410">
      <w:instrText xml:space="preserve"> DATE </w:instrText>
    </w:r>
    <w:r w:rsidR="003A4410">
      <w:fldChar w:fldCharType="separate"/>
    </w:r>
    <w:r w:rsidR="00A2076F">
      <w:rPr>
        <w:noProof/>
      </w:rPr>
      <w:t>2/20/2018</w:t>
    </w:r>
    <w:r w:rsidR="003A4410">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3C9" w:rsidRDefault="00E953C9">
    <w:pPr>
      <w:pStyle w:val="Footer"/>
      <w:pBdr>
        <w:top w:val="single" w:sz="6" w:space="1" w:color="auto"/>
      </w:pBdr>
    </w:pPr>
    <w:r>
      <w:tab/>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3C9" w:rsidRDefault="00E953C9">
    <w:pPr>
      <w:pStyle w:val="Footer"/>
    </w:pPr>
    <w:r>
      <w:t xml:space="preserve">Version 1.1 12/12/2012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410" w:rsidRDefault="003A4410">
      <w:r>
        <w:separator/>
      </w:r>
    </w:p>
  </w:footnote>
  <w:footnote w:type="continuationSeparator" w:id="0">
    <w:p w:rsidR="003A4410" w:rsidRDefault="003A4410">
      <w:r>
        <w:separator/>
      </w:r>
    </w:p>
  </w:footnote>
  <w:footnote w:type="continuationNotice" w:id="1">
    <w:p w:rsidR="003A4410" w:rsidRDefault="003A4410">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3C9" w:rsidRDefault="00E953C9">
    <w:pPr>
      <w:pStyle w:val="Header"/>
      <w:rPr>
        <w:i/>
      </w:rPr>
    </w:pPr>
    <w:r>
      <w:rPr>
        <w:i/>
      </w:rPr>
      <w:t>Systems Analysis Report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3C9" w:rsidRDefault="00E953C9">
    <w:pPr>
      <w:pStyle w:val="Header"/>
      <w:rPr>
        <w:i/>
      </w:rPr>
    </w:pPr>
    <w:r>
      <w:rPr>
        <w:i/>
      </w:rPr>
      <w:t>Rate Uploads</w:t>
    </w:r>
  </w:p>
  <w:p w:rsidR="00E953C9" w:rsidRDefault="00E953C9">
    <w:pPr>
      <w:pStyle w:val="Header"/>
      <w:pBdr>
        <w:bottom w:val="double" w:sz="6" w:space="1" w:color="auto"/>
      </w:pBdr>
      <w:jc w:val="right"/>
      <w:rPr>
        <w:i/>
      </w:rPr>
    </w:pPr>
    <w:r>
      <w:rPr>
        <w:i/>
      </w:rPr>
      <w:tab/>
    </w:r>
    <w:r>
      <w:rPr>
        <w:i/>
      </w:rPr>
      <w:tab/>
      <w:t xml:space="preserve">Page: </w:t>
    </w:r>
    <w:r w:rsidR="007775B6">
      <w:rPr>
        <w:rStyle w:val="PageNumber"/>
      </w:rPr>
      <w:fldChar w:fldCharType="begin"/>
    </w:r>
    <w:r>
      <w:rPr>
        <w:rStyle w:val="PageNumber"/>
      </w:rPr>
      <w:instrText xml:space="preserve"> PAGE </w:instrText>
    </w:r>
    <w:r w:rsidR="007775B6">
      <w:rPr>
        <w:rStyle w:val="PageNumber"/>
      </w:rPr>
      <w:fldChar w:fldCharType="separate"/>
    </w:r>
    <w:r w:rsidR="009E0102">
      <w:rPr>
        <w:rStyle w:val="PageNumber"/>
        <w:noProof/>
      </w:rPr>
      <w:t>3</w:t>
    </w:r>
    <w:r w:rsidR="007775B6">
      <w:rPr>
        <w:rStyle w:val="PageNumber"/>
      </w:rPr>
      <w:fldChar w:fldCharType="end"/>
    </w:r>
    <w:r>
      <w:rPr>
        <w:i/>
      </w:rPr>
      <w:tab/>
    </w:r>
    <w:r>
      <w:rPr>
        <w:i/>
      </w:rPr>
      <w:tab/>
    </w:r>
  </w:p>
  <w:p w:rsidR="00E953C9" w:rsidRDefault="00E953C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3C9" w:rsidRDefault="00E953C9" w:rsidP="000F12D6">
    <w:pPr>
      <w:pStyle w:val="Heading2"/>
      <w:jc w:val="right"/>
    </w:pPr>
    <w:r>
      <w:rPr>
        <w:noProof/>
      </w:rPr>
      <w:drawing>
        <wp:anchor distT="0" distB="0" distL="114300" distR="114300" simplePos="0" relativeHeight="251657728" behindDoc="0" locked="0" layoutInCell="0" allowOverlap="1">
          <wp:simplePos x="0" y="0"/>
          <wp:positionH relativeFrom="column">
            <wp:posOffset>-45720</wp:posOffset>
          </wp:positionH>
          <wp:positionV relativeFrom="paragraph">
            <wp:posOffset>-274320</wp:posOffset>
          </wp:positionV>
          <wp:extent cx="2057400" cy="930275"/>
          <wp:effectExtent l="19050" t="0" r="0" b="0"/>
          <wp:wrapTopAndBottom/>
          <wp:docPr id="1" name="Picture 1" descr="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logo"/>
                  <pic:cNvPicPr>
                    <a:picLocks noChangeAspect="1" noChangeArrowheads="1"/>
                  </pic:cNvPicPr>
                </pic:nvPicPr>
                <pic:blipFill>
                  <a:blip r:embed="rId1"/>
                  <a:srcRect/>
                  <a:stretch>
                    <a:fillRect/>
                  </a:stretch>
                </pic:blipFill>
                <pic:spPr bwMode="auto">
                  <a:xfrm>
                    <a:off x="0" y="0"/>
                    <a:ext cx="2057400" cy="930275"/>
                  </a:xfrm>
                  <a:prstGeom prst="rect">
                    <a:avLst/>
                  </a:prstGeom>
                  <a:noFill/>
                  <a:ln w="9525">
                    <a:noFill/>
                    <a:miter lim="800000"/>
                    <a:headEnd/>
                    <a:tailEnd/>
                  </a:ln>
                </pic:spPr>
              </pic:pic>
            </a:graphicData>
          </a:graphic>
        </wp:anchor>
      </w:drawing>
    </w:r>
    <w:r>
      <w:t>dtms Rate Uploads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75pt;height:9.75pt" o:bullet="t">
        <v:imagedata r:id="rId1" o:title=""/>
      </v:shape>
    </w:pict>
  </w:numPicBullet>
  <w:abstractNum w:abstractNumId="0" w15:restartNumberingAfterBreak="0">
    <w:nsid w:val="062E461A"/>
    <w:multiLevelType w:val="hybridMultilevel"/>
    <w:tmpl w:val="20DAA0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7B530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086B2A"/>
    <w:multiLevelType w:val="hybridMultilevel"/>
    <w:tmpl w:val="7DA6AC1C"/>
    <w:lvl w:ilvl="0" w:tplc="ED6AAC0A">
      <w:start w:val="6"/>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3" w15:restartNumberingAfterBreak="0">
    <w:nsid w:val="07AC0720"/>
    <w:multiLevelType w:val="hybridMultilevel"/>
    <w:tmpl w:val="39EEED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909C4"/>
    <w:multiLevelType w:val="hybridMultilevel"/>
    <w:tmpl w:val="8DDCC3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8C6E18"/>
    <w:multiLevelType w:val="hybridMultilevel"/>
    <w:tmpl w:val="E1645C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572CAC"/>
    <w:multiLevelType w:val="hybridMultilevel"/>
    <w:tmpl w:val="DDEE9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BC2F79"/>
    <w:multiLevelType w:val="hybridMultilevel"/>
    <w:tmpl w:val="CEAC1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AE386C"/>
    <w:multiLevelType w:val="hybridMultilevel"/>
    <w:tmpl w:val="942AB2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E4DA8"/>
    <w:multiLevelType w:val="hybridMultilevel"/>
    <w:tmpl w:val="D3365648"/>
    <w:lvl w:ilvl="0" w:tplc="2026C5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A6FFC"/>
    <w:multiLevelType w:val="hybridMultilevel"/>
    <w:tmpl w:val="D130CBB6"/>
    <w:lvl w:ilvl="0" w:tplc="7EF4D1B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BA30B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F732D2"/>
    <w:multiLevelType w:val="hybridMultilevel"/>
    <w:tmpl w:val="E5D0E8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AE7B4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8027C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C50043"/>
    <w:multiLevelType w:val="hybridMultilevel"/>
    <w:tmpl w:val="6AF4A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770D80"/>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59C7E6B"/>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2C42196E"/>
    <w:multiLevelType w:val="hybridMultilevel"/>
    <w:tmpl w:val="955EE504"/>
    <w:lvl w:ilvl="0" w:tplc="2026C5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7372E2"/>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2FE23CD5"/>
    <w:multiLevelType w:val="hybridMultilevel"/>
    <w:tmpl w:val="DB781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ED539E"/>
    <w:multiLevelType w:val="hybridMultilevel"/>
    <w:tmpl w:val="3B6A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6A2AE3"/>
    <w:multiLevelType w:val="hybridMultilevel"/>
    <w:tmpl w:val="DF403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4172214"/>
    <w:multiLevelType w:val="hybridMultilevel"/>
    <w:tmpl w:val="0E4C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1F1457"/>
    <w:multiLevelType w:val="multilevel"/>
    <w:tmpl w:val="6E7C15D8"/>
    <w:lvl w:ilvl="0">
      <w:start w:val="416"/>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18E2980"/>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15:restartNumberingAfterBreak="0">
    <w:nsid w:val="44036F60"/>
    <w:multiLevelType w:val="hybridMultilevel"/>
    <w:tmpl w:val="BEC6444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5D010E0"/>
    <w:multiLevelType w:val="hybridMultilevel"/>
    <w:tmpl w:val="1052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D80092"/>
    <w:multiLevelType w:val="singleLevel"/>
    <w:tmpl w:val="EC58B59A"/>
    <w:lvl w:ilvl="0">
      <w:numFmt w:val="bullet"/>
      <w:lvlText w:val="-"/>
      <w:lvlJc w:val="left"/>
      <w:pPr>
        <w:tabs>
          <w:tab w:val="num" w:pos="360"/>
        </w:tabs>
        <w:ind w:left="360" w:hanging="360"/>
      </w:pPr>
      <w:rPr>
        <w:rFonts w:hint="default"/>
      </w:rPr>
    </w:lvl>
  </w:abstractNum>
  <w:abstractNum w:abstractNumId="29" w15:restartNumberingAfterBreak="0">
    <w:nsid w:val="47927643"/>
    <w:multiLevelType w:val="hybridMultilevel"/>
    <w:tmpl w:val="10583DB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307914"/>
    <w:multiLevelType w:val="hybridMultilevel"/>
    <w:tmpl w:val="6E7C15D8"/>
    <w:lvl w:ilvl="0" w:tplc="81B8E262">
      <w:start w:val="41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4A697365"/>
    <w:multiLevelType w:val="hybridMultilevel"/>
    <w:tmpl w:val="5EA209F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4D101611"/>
    <w:multiLevelType w:val="hybridMultilevel"/>
    <w:tmpl w:val="62303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693A12"/>
    <w:multiLevelType w:val="singleLevel"/>
    <w:tmpl w:val="EC58B59A"/>
    <w:lvl w:ilvl="0">
      <w:numFmt w:val="bullet"/>
      <w:lvlText w:val="-"/>
      <w:lvlJc w:val="left"/>
      <w:pPr>
        <w:tabs>
          <w:tab w:val="num" w:pos="360"/>
        </w:tabs>
        <w:ind w:left="360" w:hanging="360"/>
      </w:pPr>
      <w:rPr>
        <w:rFonts w:hint="default"/>
      </w:rPr>
    </w:lvl>
  </w:abstractNum>
  <w:abstractNum w:abstractNumId="34" w15:restartNumberingAfterBreak="0">
    <w:nsid w:val="55B010C4"/>
    <w:multiLevelType w:val="hybridMultilevel"/>
    <w:tmpl w:val="4CA84B6C"/>
    <w:lvl w:ilvl="0" w:tplc="04090001">
      <w:start w:val="1"/>
      <w:numFmt w:val="bullet"/>
      <w:lvlText w:val=""/>
      <w:lvlJc w:val="left"/>
      <w:pPr>
        <w:tabs>
          <w:tab w:val="num" w:pos="720"/>
        </w:tabs>
        <w:ind w:left="720" w:hanging="360"/>
      </w:pPr>
      <w:rPr>
        <w:rFonts w:ascii="Symbol" w:hAnsi="Symbol" w:hint="default"/>
      </w:rPr>
    </w:lvl>
    <w:lvl w:ilvl="1" w:tplc="ED6AAC0A">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E81892"/>
    <w:multiLevelType w:val="hybridMultilevel"/>
    <w:tmpl w:val="B7B2A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4526CF"/>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5FA212E9"/>
    <w:multiLevelType w:val="hybridMultilevel"/>
    <w:tmpl w:val="CB24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924873"/>
    <w:multiLevelType w:val="multilevel"/>
    <w:tmpl w:val="10583DB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A936E6"/>
    <w:multiLevelType w:val="hybridMultilevel"/>
    <w:tmpl w:val="82B25B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5716EEE"/>
    <w:multiLevelType w:val="hybridMultilevel"/>
    <w:tmpl w:val="F5BE23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59C6F43"/>
    <w:multiLevelType w:val="hybridMultilevel"/>
    <w:tmpl w:val="777E824E"/>
    <w:lvl w:ilvl="0" w:tplc="81B8E262">
      <w:start w:val="4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417480"/>
    <w:multiLevelType w:val="hybridMultilevel"/>
    <w:tmpl w:val="B27487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B283540"/>
    <w:multiLevelType w:val="hybridMultilevel"/>
    <w:tmpl w:val="3656D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510727"/>
    <w:multiLevelType w:val="hybridMultilevel"/>
    <w:tmpl w:val="0BA628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14C2DA1"/>
    <w:multiLevelType w:val="hybridMultilevel"/>
    <w:tmpl w:val="8D686C8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A51E7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7D756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829004D"/>
    <w:multiLevelType w:val="hybridMultilevel"/>
    <w:tmpl w:val="6CF21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C64E40"/>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3"/>
  </w:num>
  <w:num w:numId="2">
    <w:abstractNumId w:val="25"/>
  </w:num>
  <w:num w:numId="3">
    <w:abstractNumId w:val="28"/>
  </w:num>
  <w:num w:numId="4">
    <w:abstractNumId w:val="1"/>
  </w:num>
  <w:num w:numId="5">
    <w:abstractNumId w:val="11"/>
  </w:num>
  <w:num w:numId="6">
    <w:abstractNumId w:val="46"/>
  </w:num>
  <w:num w:numId="7">
    <w:abstractNumId w:val="14"/>
  </w:num>
  <w:num w:numId="8">
    <w:abstractNumId w:val="47"/>
  </w:num>
  <w:num w:numId="9">
    <w:abstractNumId w:val="13"/>
  </w:num>
  <w:num w:numId="10">
    <w:abstractNumId w:val="29"/>
  </w:num>
  <w:num w:numId="11">
    <w:abstractNumId w:val="3"/>
  </w:num>
  <w:num w:numId="12">
    <w:abstractNumId w:val="38"/>
  </w:num>
  <w:num w:numId="13">
    <w:abstractNumId w:val="17"/>
  </w:num>
  <w:num w:numId="14">
    <w:abstractNumId w:val="0"/>
  </w:num>
  <w:num w:numId="15">
    <w:abstractNumId w:val="39"/>
  </w:num>
  <w:num w:numId="16">
    <w:abstractNumId w:val="35"/>
  </w:num>
  <w:num w:numId="17">
    <w:abstractNumId w:val="9"/>
  </w:num>
  <w:num w:numId="18">
    <w:abstractNumId w:val="18"/>
  </w:num>
  <w:num w:numId="19">
    <w:abstractNumId w:val="36"/>
  </w:num>
  <w:num w:numId="20">
    <w:abstractNumId w:val="49"/>
  </w:num>
  <w:num w:numId="21">
    <w:abstractNumId w:val="16"/>
  </w:num>
  <w:num w:numId="22">
    <w:abstractNumId w:val="19"/>
  </w:num>
  <w:num w:numId="23">
    <w:abstractNumId w:val="6"/>
  </w:num>
  <w:num w:numId="24">
    <w:abstractNumId w:val="21"/>
  </w:num>
  <w:num w:numId="25">
    <w:abstractNumId w:val="43"/>
  </w:num>
  <w:num w:numId="26">
    <w:abstractNumId w:val="32"/>
  </w:num>
  <w:num w:numId="27">
    <w:abstractNumId w:val="34"/>
  </w:num>
  <w:num w:numId="28">
    <w:abstractNumId w:val="2"/>
  </w:num>
  <w:num w:numId="29">
    <w:abstractNumId w:val="10"/>
  </w:num>
  <w:num w:numId="30">
    <w:abstractNumId w:val="31"/>
  </w:num>
  <w:num w:numId="31">
    <w:abstractNumId w:val="48"/>
  </w:num>
  <w:num w:numId="32">
    <w:abstractNumId w:val="8"/>
  </w:num>
  <w:num w:numId="33">
    <w:abstractNumId w:val="23"/>
  </w:num>
  <w:num w:numId="34">
    <w:abstractNumId w:val="7"/>
  </w:num>
  <w:num w:numId="35">
    <w:abstractNumId w:val="5"/>
  </w:num>
  <w:num w:numId="36">
    <w:abstractNumId w:val="44"/>
  </w:num>
  <w:num w:numId="37">
    <w:abstractNumId w:val="40"/>
  </w:num>
  <w:num w:numId="38">
    <w:abstractNumId w:val="20"/>
  </w:num>
  <w:num w:numId="39">
    <w:abstractNumId w:val="4"/>
  </w:num>
  <w:num w:numId="40">
    <w:abstractNumId w:val="26"/>
  </w:num>
  <w:num w:numId="41">
    <w:abstractNumId w:val="42"/>
  </w:num>
  <w:num w:numId="42">
    <w:abstractNumId w:val="41"/>
  </w:num>
  <w:num w:numId="43">
    <w:abstractNumId w:val="30"/>
  </w:num>
  <w:num w:numId="44">
    <w:abstractNumId w:val="24"/>
  </w:num>
  <w:num w:numId="45">
    <w:abstractNumId w:val="45"/>
  </w:num>
  <w:num w:numId="46">
    <w:abstractNumId w:val="15"/>
  </w:num>
  <w:num w:numId="47">
    <w:abstractNumId w:val="22"/>
  </w:num>
  <w:num w:numId="48">
    <w:abstractNumId w:val="12"/>
  </w:num>
  <w:num w:numId="49">
    <w:abstractNumId w:val="27"/>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650A9D"/>
    <w:rsid w:val="00004494"/>
    <w:rsid w:val="00014DE8"/>
    <w:rsid w:val="0002328D"/>
    <w:rsid w:val="000235F4"/>
    <w:rsid w:val="00080799"/>
    <w:rsid w:val="000A74F7"/>
    <w:rsid w:val="000D3C41"/>
    <w:rsid w:val="000F12D6"/>
    <w:rsid w:val="00100809"/>
    <w:rsid w:val="001229F6"/>
    <w:rsid w:val="00127515"/>
    <w:rsid w:val="00146710"/>
    <w:rsid w:val="001523BB"/>
    <w:rsid w:val="00174FCA"/>
    <w:rsid w:val="00176B60"/>
    <w:rsid w:val="001919B5"/>
    <w:rsid w:val="00194255"/>
    <w:rsid w:val="001966F8"/>
    <w:rsid w:val="001B2649"/>
    <w:rsid w:val="001B4475"/>
    <w:rsid w:val="001C7726"/>
    <w:rsid w:val="002011A6"/>
    <w:rsid w:val="00216BB2"/>
    <w:rsid w:val="0023137E"/>
    <w:rsid w:val="00234E0E"/>
    <w:rsid w:val="00253EAB"/>
    <w:rsid w:val="00270413"/>
    <w:rsid w:val="00286A5F"/>
    <w:rsid w:val="00290C16"/>
    <w:rsid w:val="002B250C"/>
    <w:rsid w:val="002C0BE4"/>
    <w:rsid w:val="002C23F3"/>
    <w:rsid w:val="002D0525"/>
    <w:rsid w:val="002D1B24"/>
    <w:rsid w:val="00301E08"/>
    <w:rsid w:val="00302AD8"/>
    <w:rsid w:val="00306B84"/>
    <w:rsid w:val="00331350"/>
    <w:rsid w:val="00345538"/>
    <w:rsid w:val="00350D03"/>
    <w:rsid w:val="00361D2D"/>
    <w:rsid w:val="00373290"/>
    <w:rsid w:val="00382747"/>
    <w:rsid w:val="003932B7"/>
    <w:rsid w:val="003A4410"/>
    <w:rsid w:val="003B24A3"/>
    <w:rsid w:val="003B5D50"/>
    <w:rsid w:val="003C3794"/>
    <w:rsid w:val="003C4AB6"/>
    <w:rsid w:val="003C57B6"/>
    <w:rsid w:val="003D3D1A"/>
    <w:rsid w:val="003D4E3A"/>
    <w:rsid w:val="003D7B4C"/>
    <w:rsid w:val="00400D1C"/>
    <w:rsid w:val="00410152"/>
    <w:rsid w:val="00412D03"/>
    <w:rsid w:val="00422DE2"/>
    <w:rsid w:val="00472AF5"/>
    <w:rsid w:val="004A1267"/>
    <w:rsid w:val="004A2518"/>
    <w:rsid w:val="004A64E1"/>
    <w:rsid w:val="004C0411"/>
    <w:rsid w:val="004E00FB"/>
    <w:rsid w:val="004E38F9"/>
    <w:rsid w:val="00563EEE"/>
    <w:rsid w:val="00565AC6"/>
    <w:rsid w:val="0058452C"/>
    <w:rsid w:val="005B273C"/>
    <w:rsid w:val="005C45B6"/>
    <w:rsid w:val="005C74C9"/>
    <w:rsid w:val="005E72EF"/>
    <w:rsid w:val="005F6131"/>
    <w:rsid w:val="005F762E"/>
    <w:rsid w:val="006021B4"/>
    <w:rsid w:val="0060724C"/>
    <w:rsid w:val="006273EF"/>
    <w:rsid w:val="006362A8"/>
    <w:rsid w:val="00641255"/>
    <w:rsid w:val="00650A9D"/>
    <w:rsid w:val="00652417"/>
    <w:rsid w:val="006F2DB1"/>
    <w:rsid w:val="00707B5F"/>
    <w:rsid w:val="00740A57"/>
    <w:rsid w:val="0075494D"/>
    <w:rsid w:val="007775B6"/>
    <w:rsid w:val="00796BEC"/>
    <w:rsid w:val="007A3A76"/>
    <w:rsid w:val="007A5975"/>
    <w:rsid w:val="007D7F9D"/>
    <w:rsid w:val="007E00D7"/>
    <w:rsid w:val="00800C58"/>
    <w:rsid w:val="00815DC9"/>
    <w:rsid w:val="00846EE1"/>
    <w:rsid w:val="00853A7F"/>
    <w:rsid w:val="008926C5"/>
    <w:rsid w:val="008A368B"/>
    <w:rsid w:val="008C709E"/>
    <w:rsid w:val="008D1F86"/>
    <w:rsid w:val="008D2D54"/>
    <w:rsid w:val="008E5306"/>
    <w:rsid w:val="008F6204"/>
    <w:rsid w:val="0090183E"/>
    <w:rsid w:val="00935D6C"/>
    <w:rsid w:val="00944BE2"/>
    <w:rsid w:val="00947298"/>
    <w:rsid w:val="00950C1B"/>
    <w:rsid w:val="0098593B"/>
    <w:rsid w:val="009E0102"/>
    <w:rsid w:val="009E3FA5"/>
    <w:rsid w:val="00A07A9D"/>
    <w:rsid w:val="00A17F6A"/>
    <w:rsid w:val="00A2076F"/>
    <w:rsid w:val="00A20901"/>
    <w:rsid w:val="00A53066"/>
    <w:rsid w:val="00A550DF"/>
    <w:rsid w:val="00A61658"/>
    <w:rsid w:val="00AB77F1"/>
    <w:rsid w:val="00AE5292"/>
    <w:rsid w:val="00AE662F"/>
    <w:rsid w:val="00B00C4F"/>
    <w:rsid w:val="00B243DD"/>
    <w:rsid w:val="00B57333"/>
    <w:rsid w:val="00B823CE"/>
    <w:rsid w:val="00BB1316"/>
    <w:rsid w:val="00BF337F"/>
    <w:rsid w:val="00C00BD0"/>
    <w:rsid w:val="00C71B76"/>
    <w:rsid w:val="00C7305E"/>
    <w:rsid w:val="00C96380"/>
    <w:rsid w:val="00CA3CA0"/>
    <w:rsid w:val="00D06C4A"/>
    <w:rsid w:val="00D06EFC"/>
    <w:rsid w:val="00D20DEC"/>
    <w:rsid w:val="00D37F12"/>
    <w:rsid w:val="00D63393"/>
    <w:rsid w:val="00D84D6A"/>
    <w:rsid w:val="00DB4486"/>
    <w:rsid w:val="00DB61EE"/>
    <w:rsid w:val="00DC2ADD"/>
    <w:rsid w:val="00DC6ADE"/>
    <w:rsid w:val="00DE1980"/>
    <w:rsid w:val="00DE35EA"/>
    <w:rsid w:val="00DF43FC"/>
    <w:rsid w:val="00DF5028"/>
    <w:rsid w:val="00DF6817"/>
    <w:rsid w:val="00E06C07"/>
    <w:rsid w:val="00E26890"/>
    <w:rsid w:val="00E330EE"/>
    <w:rsid w:val="00E461FB"/>
    <w:rsid w:val="00E67411"/>
    <w:rsid w:val="00E8172C"/>
    <w:rsid w:val="00E953C9"/>
    <w:rsid w:val="00ED140D"/>
    <w:rsid w:val="00EE26A2"/>
    <w:rsid w:val="00F071B4"/>
    <w:rsid w:val="00F13023"/>
    <w:rsid w:val="00F163CF"/>
    <w:rsid w:val="00F43697"/>
    <w:rsid w:val="00F54071"/>
    <w:rsid w:val="00FB338D"/>
    <w:rsid w:val="00FF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08266"/>
  <w15:docId w15:val="{99934C3D-F993-47EC-AE62-2D87C55A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83E"/>
    <w:pPr>
      <w:ind w:left="1080"/>
    </w:pPr>
    <w:rPr>
      <w:lang w:val="en-US" w:eastAsia="en-US"/>
    </w:rPr>
  </w:style>
  <w:style w:type="paragraph" w:styleId="Heading1">
    <w:name w:val="heading 1"/>
    <w:basedOn w:val="HeadingBase"/>
    <w:next w:val="BodyText"/>
    <w:link w:val="Heading1Char"/>
    <w:qFormat/>
    <w:rsid w:val="0090183E"/>
    <w:pPr>
      <w:shd w:val="pct10" w:color="auto" w:fill="auto"/>
      <w:spacing w:before="220" w:after="220" w:line="280" w:lineRule="atLeast"/>
      <w:ind w:left="0"/>
      <w:outlineLvl w:val="0"/>
    </w:pPr>
    <w:rPr>
      <w:b/>
      <w:spacing w:val="-10"/>
      <w:position w:val="6"/>
      <w:sz w:val="24"/>
    </w:rPr>
  </w:style>
  <w:style w:type="paragraph" w:styleId="Heading2">
    <w:name w:val="heading 2"/>
    <w:basedOn w:val="HeadingBase"/>
    <w:next w:val="BodyText"/>
    <w:link w:val="Heading2Char"/>
    <w:qFormat/>
    <w:rsid w:val="0090183E"/>
    <w:pPr>
      <w:ind w:left="0"/>
      <w:outlineLvl w:val="1"/>
    </w:pPr>
    <w:rPr>
      <w:b/>
    </w:rPr>
  </w:style>
  <w:style w:type="paragraph" w:styleId="Heading3">
    <w:name w:val="heading 3"/>
    <w:basedOn w:val="HeadingBase"/>
    <w:next w:val="BodyText"/>
    <w:link w:val="Heading3Char"/>
    <w:qFormat/>
    <w:rsid w:val="0090183E"/>
    <w:pPr>
      <w:ind w:left="0"/>
      <w:outlineLvl w:val="2"/>
    </w:pPr>
  </w:style>
  <w:style w:type="paragraph" w:styleId="Heading4">
    <w:name w:val="heading 4"/>
    <w:basedOn w:val="HeadingBase"/>
    <w:next w:val="BodyText"/>
    <w:qFormat/>
    <w:rsid w:val="0090183E"/>
    <w:pPr>
      <w:ind w:left="0"/>
      <w:outlineLvl w:val="3"/>
    </w:pPr>
    <w:rPr>
      <w:b/>
      <w:sz w:val="18"/>
    </w:rPr>
  </w:style>
  <w:style w:type="paragraph" w:styleId="Heading5">
    <w:name w:val="heading 5"/>
    <w:basedOn w:val="HeadingBase"/>
    <w:next w:val="BodyText"/>
    <w:qFormat/>
    <w:rsid w:val="0090183E"/>
    <w:pPr>
      <w:spacing w:before="220" w:after="220"/>
      <w:outlineLvl w:val="4"/>
    </w:pPr>
    <w:rPr>
      <w:rFonts w:ascii="Times New Roman" w:hAnsi="Times New Roman"/>
      <w:i/>
      <w:sz w:val="20"/>
    </w:rPr>
  </w:style>
  <w:style w:type="paragraph" w:styleId="Heading6">
    <w:name w:val="heading 6"/>
    <w:basedOn w:val="HeadingBase"/>
    <w:next w:val="BodyText"/>
    <w:qFormat/>
    <w:rsid w:val="0090183E"/>
    <w:pPr>
      <w:outlineLvl w:val="5"/>
    </w:pPr>
    <w:rPr>
      <w:rFonts w:ascii="Times New Roman" w:hAnsi="Times New Roman"/>
      <w:i/>
      <w:sz w:val="20"/>
    </w:rPr>
  </w:style>
  <w:style w:type="paragraph" w:styleId="Heading7">
    <w:name w:val="heading 7"/>
    <w:basedOn w:val="HeadingBase"/>
    <w:next w:val="BodyText"/>
    <w:qFormat/>
    <w:rsid w:val="0090183E"/>
    <w:pPr>
      <w:outlineLvl w:val="6"/>
    </w:pPr>
    <w:rPr>
      <w:rFonts w:ascii="Times New Roman" w:hAnsi="Times New Roman"/>
      <w:sz w:val="20"/>
    </w:rPr>
  </w:style>
  <w:style w:type="paragraph" w:styleId="Heading8">
    <w:name w:val="heading 8"/>
    <w:basedOn w:val="HeadingBase"/>
    <w:next w:val="BodyText"/>
    <w:qFormat/>
    <w:rsid w:val="0090183E"/>
    <w:pPr>
      <w:outlineLvl w:val="7"/>
    </w:pPr>
    <w:rPr>
      <w:i/>
      <w:sz w:val="18"/>
    </w:rPr>
  </w:style>
  <w:style w:type="paragraph" w:styleId="Heading9">
    <w:name w:val="heading 9"/>
    <w:basedOn w:val="HeadingBase"/>
    <w:next w:val="BodyText"/>
    <w:qFormat/>
    <w:rsid w:val="0090183E"/>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link w:val="HeadingBaseChar"/>
    <w:rsid w:val="0090183E"/>
    <w:pPr>
      <w:keepNext/>
      <w:keepLines/>
      <w:spacing w:before="140" w:line="220" w:lineRule="atLeast"/>
    </w:pPr>
    <w:rPr>
      <w:rFonts w:ascii="Arial" w:hAnsi="Arial"/>
      <w:spacing w:val="-4"/>
      <w:kern w:val="28"/>
      <w:sz w:val="22"/>
    </w:rPr>
  </w:style>
  <w:style w:type="paragraph" w:styleId="BodyText">
    <w:name w:val="Body Text"/>
    <w:basedOn w:val="Normal"/>
    <w:link w:val="BodyTextChar"/>
    <w:rsid w:val="0090183E"/>
    <w:pPr>
      <w:spacing w:after="220" w:line="220" w:lineRule="atLeast"/>
      <w:ind w:left="0"/>
    </w:pPr>
  </w:style>
  <w:style w:type="paragraph" w:customStyle="1" w:styleId="FootnoteBase">
    <w:name w:val="Footnote Base"/>
    <w:basedOn w:val="Normal"/>
    <w:rsid w:val="0090183E"/>
    <w:pPr>
      <w:keepLines/>
      <w:spacing w:line="220" w:lineRule="atLeast"/>
    </w:pPr>
    <w:rPr>
      <w:sz w:val="18"/>
    </w:rPr>
  </w:style>
  <w:style w:type="paragraph" w:customStyle="1" w:styleId="BlockQuotation">
    <w:name w:val="Block Quotation"/>
    <w:basedOn w:val="BodyText"/>
    <w:rsid w:val="0090183E"/>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90183E"/>
    <w:pPr>
      <w:keepNext/>
    </w:pPr>
  </w:style>
  <w:style w:type="paragraph" w:styleId="Caption">
    <w:name w:val="caption"/>
    <w:basedOn w:val="Picture"/>
    <w:next w:val="BodyText"/>
    <w:qFormat/>
    <w:rsid w:val="0090183E"/>
    <w:pPr>
      <w:spacing w:before="60" w:after="220" w:line="220" w:lineRule="atLeast"/>
      <w:ind w:left="1800"/>
    </w:pPr>
    <w:rPr>
      <w:i/>
      <w:sz w:val="18"/>
    </w:rPr>
  </w:style>
  <w:style w:type="paragraph" w:customStyle="1" w:styleId="Picture">
    <w:name w:val="Picture"/>
    <w:basedOn w:val="Normal"/>
    <w:next w:val="Caption"/>
    <w:rsid w:val="0090183E"/>
    <w:pPr>
      <w:keepNext/>
    </w:pPr>
  </w:style>
  <w:style w:type="paragraph" w:customStyle="1" w:styleId="DocumentLabel">
    <w:name w:val="Document Label"/>
    <w:basedOn w:val="HeadingBase"/>
    <w:next w:val="BodyText"/>
    <w:rsid w:val="0090183E"/>
    <w:pPr>
      <w:spacing w:before="160"/>
    </w:pPr>
    <w:rPr>
      <w:rFonts w:ascii="Times New Roman" w:hAnsi="Times New Roman"/>
      <w:spacing w:val="-30"/>
      <w:sz w:val="60"/>
    </w:rPr>
  </w:style>
  <w:style w:type="character" w:styleId="EndnoteReference">
    <w:name w:val="endnote reference"/>
    <w:semiHidden/>
    <w:rsid w:val="0090183E"/>
    <w:rPr>
      <w:b/>
      <w:vertAlign w:val="superscript"/>
    </w:rPr>
  </w:style>
  <w:style w:type="paragraph" w:styleId="EndnoteText">
    <w:name w:val="endnote text"/>
    <w:basedOn w:val="FootnoteBase"/>
    <w:semiHidden/>
    <w:rsid w:val="0090183E"/>
  </w:style>
  <w:style w:type="paragraph" w:styleId="Footer">
    <w:name w:val="footer"/>
    <w:basedOn w:val="HeaderBase"/>
    <w:rsid w:val="0090183E"/>
  </w:style>
  <w:style w:type="paragraph" w:customStyle="1" w:styleId="HeaderBase">
    <w:name w:val="Header Base"/>
    <w:basedOn w:val="Normal"/>
    <w:rsid w:val="0090183E"/>
    <w:pPr>
      <w:keepLines/>
      <w:tabs>
        <w:tab w:val="center" w:pos="4320"/>
        <w:tab w:val="right" w:pos="8640"/>
      </w:tabs>
      <w:ind w:left="0"/>
    </w:pPr>
    <w:rPr>
      <w:rFonts w:ascii="Arial" w:hAnsi="Arial"/>
      <w:spacing w:val="-4"/>
    </w:rPr>
  </w:style>
  <w:style w:type="character" w:styleId="FootnoteReference">
    <w:name w:val="footnote reference"/>
    <w:semiHidden/>
    <w:rsid w:val="0090183E"/>
    <w:rPr>
      <w:vertAlign w:val="superscript"/>
    </w:rPr>
  </w:style>
  <w:style w:type="paragraph" w:styleId="FootnoteText">
    <w:name w:val="footnote text"/>
    <w:basedOn w:val="FootnoteBase"/>
    <w:semiHidden/>
    <w:rsid w:val="0090183E"/>
  </w:style>
  <w:style w:type="paragraph" w:styleId="Header">
    <w:name w:val="header"/>
    <w:basedOn w:val="HeaderBase"/>
    <w:rsid w:val="0090183E"/>
  </w:style>
  <w:style w:type="paragraph" w:styleId="Index1">
    <w:name w:val="index 1"/>
    <w:basedOn w:val="IndexBase"/>
    <w:semiHidden/>
    <w:rsid w:val="0090183E"/>
    <w:pPr>
      <w:tabs>
        <w:tab w:val="right" w:pos="4080"/>
      </w:tabs>
      <w:ind w:hanging="360"/>
    </w:pPr>
  </w:style>
  <w:style w:type="paragraph" w:customStyle="1" w:styleId="IndexBase">
    <w:name w:val="Index Base"/>
    <w:basedOn w:val="Normal"/>
    <w:rsid w:val="0090183E"/>
    <w:pPr>
      <w:spacing w:line="220" w:lineRule="atLeast"/>
      <w:ind w:left="360"/>
    </w:pPr>
  </w:style>
  <w:style w:type="paragraph" w:styleId="Index2">
    <w:name w:val="index 2"/>
    <w:basedOn w:val="IndexBase"/>
    <w:semiHidden/>
    <w:rsid w:val="0090183E"/>
    <w:pPr>
      <w:tabs>
        <w:tab w:val="right" w:pos="4080"/>
      </w:tabs>
      <w:ind w:left="720" w:hanging="360"/>
    </w:pPr>
  </w:style>
  <w:style w:type="paragraph" w:styleId="Index3">
    <w:name w:val="index 3"/>
    <w:basedOn w:val="IndexBase"/>
    <w:semiHidden/>
    <w:rsid w:val="0090183E"/>
    <w:pPr>
      <w:tabs>
        <w:tab w:val="right" w:pos="4080"/>
      </w:tabs>
      <w:ind w:left="720" w:hanging="360"/>
    </w:pPr>
  </w:style>
  <w:style w:type="paragraph" w:styleId="Index4">
    <w:name w:val="index 4"/>
    <w:basedOn w:val="IndexBase"/>
    <w:semiHidden/>
    <w:rsid w:val="0090183E"/>
    <w:pPr>
      <w:tabs>
        <w:tab w:val="right" w:pos="4080"/>
      </w:tabs>
      <w:ind w:left="720" w:hanging="360"/>
    </w:pPr>
  </w:style>
  <w:style w:type="paragraph" w:styleId="Index5">
    <w:name w:val="index 5"/>
    <w:basedOn w:val="IndexBase"/>
    <w:semiHidden/>
    <w:rsid w:val="0090183E"/>
    <w:pPr>
      <w:tabs>
        <w:tab w:val="right" w:pos="4080"/>
      </w:tabs>
      <w:ind w:left="720" w:hanging="360"/>
    </w:pPr>
  </w:style>
  <w:style w:type="paragraph" w:styleId="IndexHeading">
    <w:name w:val="index heading"/>
    <w:basedOn w:val="HeadingBase"/>
    <w:next w:val="Index1"/>
    <w:semiHidden/>
    <w:rsid w:val="0090183E"/>
    <w:pPr>
      <w:keepLines w:val="0"/>
      <w:spacing w:before="440"/>
      <w:ind w:left="0"/>
    </w:pPr>
    <w:rPr>
      <w:b/>
      <w:caps/>
      <w:spacing w:val="0"/>
      <w:kern w:val="0"/>
      <w:sz w:val="24"/>
    </w:rPr>
  </w:style>
  <w:style w:type="paragraph" w:customStyle="1" w:styleId="SectionHeading">
    <w:name w:val="Section Heading"/>
    <w:basedOn w:val="Heading1"/>
    <w:rsid w:val="0090183E"/>
    <w:pPr>
      <w:outlineLvl w:val="9"/>
    </w:pPr>
  </w:style>
  <w:style w:type="character" w:customStyle="1" w:styleId="Lead-inEmphasis">
    <w:name w:val="Lead-in Emphasis"/>
    <w:rsid w:val="0090183E"/>
    <w:rPr>
      <w:rFonts w:ascii="Arial" w:hAnsi="Arial"/>
      <w:b/>
      <w:spacing w:val="-4"/>
    </w:rPr>
  </w:style>
  <w:style w:type="character" w:styleId="LineNumber">
    <w:name w:val="line number"/>
    <w:rsid w:val="0090183E"/>
    <w:rPr>
      <w:sz w:val="18"/>
    </w:rPr>
  </w:style>
  <w:style w:type="paragraph" w:styleId="List">
    <w:name w:val="List"/>
    <w:basedOn w:val="BodyText"/>
    <w:rsid w:val="0090183E"/>
    <w:pPr>
      <w:ind w:left="1440" w:hanging="360"/>
    </w:pPr>
  </w:style>
  <w:style w:type="paragraph" w:styleId="ListBullet">
    <w:name w:val="List Bullet"/>
    <w:basedOn w:val="List"/>
    <w:rsid w:val="0090183E"/>
    <w:pPr>
      <w:ind w:left="1800" w:right="720"/>
    </w:pPr>
  </w:style>
  <w:style w:type="paragraph" w:styleId="ListNumber">
    <w:name w:val="List Number"/>
    <w:basedOn w:val="List"/>
    <w:rsid w:val="0090183E"/>
    <w:pPr>
      <w:ind w:left="1800" w:right="720"/>
    </w:pPr>
  </w:style>
  <w:style w:type="paragraph" w:styleId="MacroText">
    <w:name w:val="macro"/>
    <w:basedOn w:val="Normal"/>
    <w:semiHidden/>
    <w:rsid w:val="0090183E"/>
    <w:rPr>
      <w:rFonts w:ascii="Courier New" w:hAnsi="Courier New"/>
    </w:rPr>
  </w:style>
  <w:style w:type="character" w:styleId="PageNumber">
    <w:name w:val="page number"/>
    <w:rsid w:val="0090183E"/>
    <w:rPr>
      <w:rFonts w:ascii="Arial" w:hAnsi="Arial"/>
      <w:b/>
      <w:sz w:val="18"/>
    </w:rPr>
  </w:style>
  <w:style w:type="paragraph" w:customStyle="1" w:styleId="SubtitleCover">
    <w:name w:val="Subtitle Cover"/>
    <w:basedOn w:val="TitleCover"/>
    <w:next w:val="BodyText"/>
    <w:rsid w:val="0090183E"/>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90183E"/>
    <w:pPr>
      <w:spacing w:before="1800" w:line="240" w:lineRule="atLeast"/>
    </w:pPr>
    <w:rPr>
      <w:b/>
      <w:spacing w:val="-48"/>
      <w:sz w:val="72"/>
    </w:rPr>
  </w:style>
  <w:style w:type="character" w:customStyle="1" w:styleId="Superscript">
    <w:name w:val="Superscript"/>
    <w:rsid w:val="0090183E"/>
    <w:rPr>
      <w:b/>
      <w:vertAlign w:val="superscript"/>
    </w:rPr>
  </w:style>
  <w:style w:type="paragraph" w:customStyle="1" w:styleId="TOCBase">
    <w:name w:val="TOC Base"/>
    <w:basedOn w:val="Normal"/>
    <w:rsid w:val="0090183E"/>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90183E"/>
    <w:pPr>
      <w:ind w:left="1440" w:hanging="360"/>
    </w:pPr>
  </w:style>
  <w:style w:type="paragraph" w:styleId="TOC1">
    <w:name w:val="toc 1"/>
    <w:basedOn w:val="TOCBase"/>
    <w:semiHidden/>
    <w:rsid w:val="0090183E"/>
    <w:rPr>
      <w:b/>
      <w:spacing w:val="-4"/>
    </w:rPr>
  </w:style>
  <w:style w:type="paragraph" w:styleId="TOC2">
    <w:name w:val="toc 2"/>
    <w:basedOn w:val="TOCBase"/>
    <w:semiHidden/>
    <w:rsid w:val="0090183E"/>
  </w:style>
  <w:style w:type="paragraph" w:styleId="TOC3">
    <w:name w:val="toc 3"/>
    <w:basedOn w:val="TOCBase"/>
    <w:semiHidden/>
    <w:rsid w:val="0090183E"/>
  </w:style>
  <w:style w:type="paragraph" w:styleId="TOC4">
    <w:name w:val="toc 4"/>
    <w:basedOn w:val="TOCBase"/>
    <w:semiHidden/>
    <w:rsid w:val="0090183E"/>
  </w:style>
  <w:style w:type="paragraph" w:styleId="TOC5">
    <w:name w:val="toc 5"/>
    <w:basedOn w:val="TOCBase"/>
    <w:semiHidden/>
    <w:rsid w:val="0090183E"/>
  </w:style>
  <w:style w:type="paragraph" w:customStyle="1" w:styleId="SectionLabel">
    <w:name w:val="Section Label"/>
    <w:basedOn w:val="HeadingBase"/>
    <w:next w:val="BodyText"/>
    <w:rsid w:val="0090183E"/>
    <w:pPr>
      <w:spacing w:before="400" w:after="440"/>
    </w:pPr>
    <w:rPr>
      <w:rFonts w:ascii="Times New Roman" w:hAnsi="Times New Roman"/>
      <w:spacing w:val="-30"/>
      <w:sz w:val="60"/>
    </w:rPr>
  </w:style>
  <w:style w:type="paragraph" w:customStyle="1" w:styleId="FooterFirst">
    <w:name w:val="Footer First"/>
    <w:basedOn w:val="Footer"/>
    <w:rsid w:val="0090183E"/>
    <w:pPr>
      <w:pBdr>
        <w:bottom w:val="single" w:sz="6" w:space="1" w:color="auto"/>
      </w:pBdr>
      <w:spacing w:before="600"/>
    </w:pPr>
    <w:rPr>
      <w:b/>
    </w:rPr>
  </w:style>
  <w:style w:type="paragraph" w:customStyle="1" w:styleId="FooterEven">
    <w:name w:val="Footer Even"/>
    <w:basedOn w:val="Footer"/>
    <w:rsid w:val="0090183E"/>
    <w:pPr>
      <w:pBdr>
        <w:bottom w:val="single" w:sz="6" w:space="1" w:color="auto"/>
      </w:pBdr>
      <w:spacing w:before="600"/>
    </w:pPr>
    <w:rPr>
      <w:b/>
    </w:rPr>
  </w:style>
  <w:style w:type="paragraph" w:customStyle="1" w:styleId="FooterOdd">
    <w:name w:val="Footer Odd"/>
    <w:basedOn w:val="Footer"/>
    <w:rsid w:val="0090183E"/>
    <w:pPr>
      <w:pBdr>
        <w:bottom w:val="single" w:sz="6" w:space="1" w:color="auto"/>
      </w:pBdr>
      <w:spacing w:before="600"/>
    </w:pPr>
    <w:rPr>
      <w:b/>
    </w:rPr>
  </w:style>
  <w:style w:type="paragraph" w:customStyle="1" w:styleId="HeaderFirst">
    <w:name w:val="Header First"/>
    <w:basedOn w:val="Header"/>
    <w:rsid w:val="0090183E"/>
  </w:style>
  <w:style w:type="paragraph" w:customStyle="1" w:styleId="HeaderEven">
    <w:name w:val="Header Even"/>
    <w:basedOn w:val="Header"/>
    <w:rsid w:val="0090183E"/>
  </w:style>
  <w:style w:type="paragraph" w:customStyle="1" w:styleId="HeaderOdd">
    <w:name w:val="Header Odd"/>
    <w:basedOn w:val="Header"/>
    <w:rsid w:val="0090183E"/>
  </w:style>
  <w:style w:type="paragraph" w:customStyle="1" w:styleId="ChapterLabel">
    <w:name w:val="Chapter Label"/>
    <w:basedOn w:val="HeadingBase"/>
    <w:next w:val="ChapterTitle"/>
    <w:rsid w:val="0090183E"/>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90183E"/>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BodyText"/>
    <w:rsid w:val="0090183E"/>
    <w:pPr>
      <w:spacing w:before="0" w:line="400" w:lineRule="atLeast"/>
    </w:pPr>
    <w:rPr>
      <w:i/>
      <w:spacing w:val="-14"/>
      <w:sz w:val="34"/>
    </w:rPr>
  </w:style>
  <w:style w:type="paragraph" w:styleId="BodyTextIndent">
    <w:name w:val="Body Text Indent"/>
    <w:basedOn w:val="BodyText"/>
    <w:rsid w:val="0090183E"/>
    <w:pPr>
      <w:ind w:left="1440"/>
    </w:pPr>
  </w:style>
  <w:style w:type="paragraph" w:styleId="Subtitle">
    <w:name w:val="Subtitle"/>
    <w:basedOn w:val="Title"/>
    <w:next w:val="BodyText"/>
    <w:qFormat/>
    <w:rsid w:val="0090183E"/>
    <w:pPr>
      <w:spacing w:before="0" w:after="160" w:line="400" w:lineRule="atLeast"/>
    </w:pPr>
    <w:rPr>
      <w:i/>
      <w:spacing w:val="-14"/>
      <w:sz w:val="34"/>
    </w:rPr>
  </w:style>
  <w:style w:type="paragraph" w:styleId="Title">
    <w:name w:val="Title"/>
    <w:basedOn w:val="HeadingBase"/>
    <w:next w:val="Subtitle"/>
    <w:qFormat/>
    <w:rsid w:val="0090183E"/>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90183E"/>
    <w:pPr>
      <w:ind w:left="3240"/>
    </w:pPr>
  </w:style>
  <w:style w:type="paragraph" w:styleId="ListNumber4">
    <w:name w:val="List Number 4"/>
    <w:basedOn w:val="ListNumber"/>
    <w:rsid w:val="0090183E"/>
    <w:pPr>
      <w:ind w:left="2880"/>
    </w:pPr>
  </w:style>
  <w:style w:type="paragraph" w:styleId="ListNumber3">
    <w:name w:val="List Number 3"/>
    <w:basedOn w:val="ListNumber"/>
    <w:rsid w:val="0090183E"/>
    <w:pPr>
      <w:ind w:left="2520"/>
    </w:pPr>
  </w:style>
  <w:style w:type="paragraph" w:styleId="ListBullet5">
    <w:name w:val="List Bullet 5"/>
    <w:basedOn w:val="ListBullet"/>
    <w:rsid w:val="0090183E"/>
    <w:pPr>
      <w:ind w:left="3240"/>
    </w:pPr>
  </w:style>
  <w:style w:type="paragraph" w:styleId="ListBullet4">
    <w:name w:val="List Bullet 4"/>
    <w:basedOn w:val="ListBullet"/>
    <w:rsid w:val="0090183E"/>
    <w:pPr>
      <w:ind w:left="2880"/>
    </w:pPr>
  </w:style>
  <w:style w:type="paragraph" w:styleId="ListBullet3">
    <w:name w:val="List Bullet 3"/>
    <w:basedOn w:val="ListBullet"/>
    <w:rsid w:val="0090183E"/>
    <w:pPr>
      <w:ind w:left="2520"/>
    </w:pPr>
  </w:style>
  <w:style w:type="paragraph" w:styleId="ListBullet2">
    <w:name w:val="List Bullet 2"/>
    <w:basedOn w:val="ListBullet"/>
    <w:rsid w:val="0090183E"/>
    <w:pPr>
      <w:ind w:left="2160"/>
    </w:pPr>
  </w:style>
  <w:style w:type="paragraph" w:styleId="List5">
    <w:name w:val="List 5"/>
    <w:basedOn w:val="List"/>
    <w:rsid w:val="0090183E"/>
    <w:pPr>
      <w:ind w:left="2880"/>
    </w:pPr>
  </w:style>
  <w:style w:type="paragraph" w:styleId="List4">
    <w:name w:val="List 4"/>
    <w:basedOn w:val="List"/>
    <w:rsid w:val="0090183E"/>
    <w:pPr>
      <w:ind w:left="2520"/>
    </w:pPr>
  </w:style>
  <w:style w:type="paragraph" w:styleId="List3">
    <w:name w:val="List 3"/>
    <w:basedOn w:val="List"/>
    <w:rsid w:val="0090183E"/>
    <w:pPr>
      <w:ind w:left="2160"/>
    </w:pPr>
  </w:style>
  <w:style w:type="paragraph" w:styleId="List2">
    <w:name w:val="List 2"/>
    <w:basedOn w:val="List"/>
    <w:rsid w:val="0090183E"/>
    <w:pPr>
      <w:ind w:left="1800"/>
    </w:pPr>
  </w:style>
  <w:style w:type="character" w:styleId="Emphasis">
    <w:name w:val="Emphasis"/>
    <w:qFormat/>
    <w:rsid w:val="0090183E"/>
    <w:rPr>
      <w:rFonts w:ascii="Arial" w:hAnsi="Arial"/>
      <w:b/>
      <w:spacing w:val="-4"/>
    </w:rPr>
  </w:style>
  <w:style w:type="character" w:styleId="CommentReference">
    <w:name w:val="annotation reference"/>
    <w:semiHidden/>
    <w:rsid w:val="0090183E"/>
    <w:rPr>
      <w:sz w:val="16"/>
    </w:rPr>
  </w:style>
  <w:style w:type="paragraph" w:styleId="CommentText">
    <w:name w:val="annotation text"/>
    <w:basedOn w:val="FootnoteBase"/>
    <w:semiHidden/>
    <w:rsid w:val="0090183E"/>
  </w:style>
  <w:style w:type="paragraph" w:styleId="ListNumber2">
    <w:name w:val="List Number 2"/>
    <w:basedOn w:val="ListNumber"/>
    <w:rsid w:val="0090183E"/>
    <w:pPr>
      <w:ind w:left="2160"/>
    </w:pPr>
  </w:style>
  <w:style w:type="paragraph" w:styleId="ListContinue">
    <w:name w:val="List Continue"/>
    <w:basedOn w:val="List"/>
    <w:rsid w:val="0090183E"/>
    <w:pPr>
      <w:ind w:left="1800" w:firstLine="0"/>
    </w:pPr>
  </w:style>
  <w:style w:type="paragraph" w:styleId="ListContinue2">
    <w:name w:val="List Continue 2"/>
    <w:basedOn w:val="ListContinue"/>
    <w:rsid w:val="0090183E"/>
    <w:pPr>
      <w:ind w:left="2160"/>
    </w:pPr>
  </w:style>
  <w:style w:type="paragraph" w:styleId="ListContinue3">
    <w:name w:val="List Continue 3"/>
    <w:basedOn w:val="ListContinue"/>
    <w:rsid w:val="0090183E"/>
    <w:pPr>
      <w:ind w:left="2520"/>
    </w:pPr>
  </w:style>
  <w:style w:type="paragraph" w:styleId="ListContinue4">
    <w:name w:val="List Continue 4"/>
    <w:basedOn w:val="ListContinue"/>
    <w:rsid w:val="0090183E"/>
    <w:pPr>
      <w:ind w:left="2880"/>
    </w:pPr>
  </w:style>
  <w:style w:type="paragraph" w:styleId="ListContinue5">
    <w:name w:val="List Continue 5"/>
    <w:basedOn w:val="ListContinue"/>
    <w:rsid w:val="0090183E"/>
    <w:pPr>
      <w:ind w:left="3240"/>
    </w:pPr>
  </w:style>
  <w:style w:type="paragraph" w:styleId="NormalIndent">
    <w:name w:val="Normal Indent"/>
    <w:basedOn w:val="Normal"/>
    <w:rsid w:val="0090183E"/>
    <w:pPr>
      <w:ind w:left="1440"/>
    </w:pPr>
  </w:style>
  <w:style w:type="paragraph" w:customStyle="1" w:styleId="ReturnAddress">
    <w:name w:val="Return Address"/>
    <w:basedOn w:val="Normal"/>
    <w:rsid w:val="0090183E"/>
    <w:pPr>
      <w:keepLines/>
      <w:framePr w:w="2160" w:h="1200" w:wrap="notBeside" w:vAnchor="page" w:hAnchor="page" w:x="9241" w:y="673" w:anchorLock="1"/>
      <w:spacing w:line="220" w:lineRule="atLeast"/>
      <w:ind w:left="0"/>
    </w:pPr>
    <w:rPr>
      <w:sz w:val="16"/>
    </w:rPr>
  </w:style>
  <w:style w:type="character" w:customStyle="1" w:styleId="Slogan">
    <w:name w:val="Slogan"/>
    <w:basedOn w:val="DefaultParagraphFont"/>
    <w:rsid w:val="0090183E"/>
    <w:rPr>
      <w:i/>
      <w:spacing w:val="-6"/>
      <w:sz w:val="24"/>
    </w:rPr>
  </w:style>
  <w:style w:type="paragraph" w:customStyle="1" w:styleId="CompanyName">
    <w:name w:val="Company Name"/>
    <w:basedOn w:val="DocumentLabel"/>
    <w:rsid w:val="0090183E"/>
    <w:pPr>
      <w:spacing w:before="0"/>
    </w:pPr>
  </w:style>
  <w:style w:type="paragraph" w:customStyle="1" w:styleId="PartLabel">
    <w:name w:val="Part Label"/>
    <w:basedOn w:val="HeadingBase"/>
    <w:next w:val="Normal"/>
    <w:rsid w:val="0090183E"/>
    <w:pPr>
      <w:spacing w:before="400" w:after="440"/>
    </w:pPr>
    <w:rPr>
      <w:rFonts w:ascii="Times New Roman" w:hAnsi="Times New Roman"/>
      <w:spacing w:val="-30"/>
      <w:sz w:val="60"/>
    </w:rPr>
  </w:style>
  <w:style w:type="paragraph" w:customStyle="1" w:styleId="PartSubtitle">
    <w:name w:val="Part Subtitle"/>
    <w:basedOn w:val="Normal"/>
    <w:next w:val="BodyText"/>
    <w:rsid w:val="0090183E"/>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90183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90183E"/>
    <w:pPr>
      <w:tabs>
        <w:tab w:val="right" w:leader="dot" w:pos="7560"/>
      </w:tabs>
      <w:ind w:left="1440" w:hanging="360"/>
    </w:pPr>
  </w:style>
  <w:style w:type="paragraph" w:styleId="TOAHeading">
    <w:name w:val="toa heading"/>
    <w:basedOn w:val="Normal"/>
    <w:next w:val="TableofAuthorities"/>
    <w:semiHidden/>
    <w:rsid w:val="0090183E"/>
    <w:pPr>
      <w:keepNext/>
      <w:spacing w:before="240" w:after="120" w:line="360" w:lineRule="exact"/>
    </w:pPr>
    <w:rPr>
      <w:rFonts w:ascii="Arial" w:hAnsi="Arial"/>
      <w:b/>
      <w:kern w:val="28"/>
      <w:sz w:val="28"/>
    </w:rPr>
  </w:style>
  <w:style w:type="paragraph" w:styleId="MessageHeader">
    <w:name w:val="Message Header"/>
    <w:basedOn w:val="BodyText"/>
    <w:rsid w:val="0090183E"/>
    <w:pPr>
      <w:keepLines/>
      <w:tabs>
        <w:tab w:val="left" w:pos="3600"/>
        <w:tab w:val="left" w:pos="4680"/>
      </w:tabs>
      <w:spacing w:after="120" w:line="280" w:lineRule="exact"/>
      <w:ind w:right="2160" w:hanging="1080"/>
    </w:pPr>
    <w:rPr>
      <w:rFonts w:ascii="Arial" w:hAnsi="Arial"/>
      <w:sz w:val="22"/>
    </w:rPr>
  </w:style>
  <w:style w:type="paragraph" w:customStyle="1" w:styleId="h2">
    <w:name w:val="h2"/>
    <w:basedOn w:val="BodyText"/>
    <w:rsid w:val="0090183E"/>
    <w:pPr>
      <w:ind w:left="720"/>
    </w:pPr>
  </w:style>
  <w:style w:type="paragraph" w:styleId="BlockText">
    <w:name w:val="Block Text"/>
    <w:basedOn w:val="Normal"/>
    <w:rsid w:val="0090183E"/>
    <w:pPr>
      <w:ind w:right="-270"/>
    </w:pPr>
    <w:rPr>
      <w:rFonts w:ascii="Courier New" w:hAnsi="Courier New"/>
      <w:sz w:val="16"/>
    </w:rPr>
  </w:style>
  <w:style w:type="table" w:styleId="TableGrid">
    <w:name w:val="Table Grid"/>
    <w:basedOn w:val="TableNormal"/>
    <w:rsid w:val="00FF473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41255"/>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F163CF"/>
    <w:pPr>
      <w:ind w:left="10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B2649"/>
    <w:pPr>
      <w:ind w:left="10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semiHidden/>
    <w:rsid w:val="008D1F86"/>
    <w:rPr>
      <w:rFonts w:ascii="Tahoma" w:hAnsi="Tahoma" w:cs="Tahoma"/>
      <w:sz w:val="16"/>
      <w:szCs w:val="16"/>
    </w:rPr>
  </w:style>
  <w:style w:type="character" w:customStyle="1" w:styleId="HeadingBaseChar">
    <w:name w:val="Heading Base Char"/>
    <w:basedOn w:val="DefaultParagraphFont"/>
    <w:link w:val="HeadingBase"/>
    <w:rsid w:val="00FB338D"/>
    <w:rPr>
      <w:rFonts w:ascii="Arial" w:hAnsi="Arial"/>
      <w:spacing w:val="-4"/>
      <w:kern w:val="28"/>
      <w:sz w:val="22"/>
      <w:lang w:val="en-US" w:eastAsia="en-US" w:bidi="ar-SA"/>
    </w:rPr>
  </w:style>
  <w:style w:type="character" w:customStyle="1" w:styleId="Heading1Char">
    <w:name w:val="Heading 1 Char"/>
    <w:basedOn w:val="HeadingBaseChar"/>
    <w:link w:val="Heading1"/>
    <w:rsid w:val="00FB338D"/>
    <w:rPr>
      <w:rFonts w:ascii="Arial" w:hAnsi="Arial"/>
      <w:b/>
      <w:spacing w:val="-10"/>
      <w:kern w:val="28"/>
      <w:position w:val="6"/>
      <w:sz w:val="24"/>
      <w:lang w:val="en-US" w:eastAsia="en-US" w:bidi="ar-SA"/>
    </w:rPr>
  </w:style>
  <w:style w:type="character" w:customStyle="1" w:styleId="BodyTextChar">
    <w:name w:val="Body Text Char"/>
    <w:basedOn w:val="DefaultParagraphFont"/>
    <w:link w:val="BodyText"/>
    <w:rsid w:val="00FB338D"/>
    <w:rPr>
      <w:lang w:val="en-US" w:eastAsia="en-US" w:bidi="ar-SA"/>
    </w:rPr>
  </w:style>
  <w:style w:type="character" w:customStyle="1" w:styleId="Heading2Char">
    <w:name w:val="Heading 2 Char"/>
    <w:basedOn w:val="HeadingBaseChar"/>
    <w:link w:val="Heading2"/>
    <w:rsid w:val="00FB338D"/>
    <w:rPr>
      <w:rFonts w:ascii="Arial" w:hAnsi="Arial"/>
      <w:b/>
      <w:spacing w:val="-4"/>
      <w:kern w:val="28"/>
      <w:sz w:val="22"/>
      <w:lang w:val="en-US" w:eastAsia="en-US" w:bidi="ar-SA"/>
    </w:rPr>
  </w:style>
  <w:style w:type="character" w:customStyle="1" w:styleId="Heading3Char">
    <w:name w:val="Heading 3 Char"/>
    <w:basedOn w:val="HeadingBaseChar"/>
    <w:link w:val="Heading3"/>
    <w:rsid w:val="00D06EFC"/>
    <w:rPr>
      <w:rFonts w:ascii="Arial" w:hAnsi="Arial"/>
      <w:spacing w:val="-4"/>
      <w:kern w:val="28"/>
      <w:sz w:val="22"/>
      <w:lang w:val="en-US" w:eastAsia="en-US" w:bidi="ar-SA"/>
    </w:rPr>
  </w:style>
  <w:style w:type="table" w:styleId="MediumList2-Accent1">
    <w:name w:val="Medium List 2 Accent 1"/>
    <w:basedOn w:val="TableNormal"/>
    <w:uiPriority w:val="66"/>
    <w:rsid w:val="00DF502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05905">
      <w:bodyDiv w:val="1"/>
      <w:marLeft w:val="0"/>
      <w:marRight w:val="0"/>
      <w:marTop w:val="0"/>
      <w:marBottom w:val="0"/>
      <w:divBdr>
        <w:top w:val="none" w:sz="0" w:space="0" w:color="auto"/>
        <w:left w:val="none" w:sz="0" w:space="0" w:color="auto"/>
        <w:bottom w:val="none" w:sz="0" w:space="0" w:color="auto"/>
        <w:right w:val="none" w:sz="0" w:space="0" w:color="auto"/>
      </w:divBdr>
    </w:div>
    <w:div w:id="56584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g\My%20Documents\Templates\Technical%20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Technical Specification</Template>
  <TotalTime>3180</TotalTime>
  <Pages>7</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Technical Specification</vt:lpstr>
    </vt:vector>
  </TitlesOfParts>
  <Company>Degama Systems Inc.</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dc:title>
  <dc:creator>Tom Greenwood</dc:creator>
  <cp:lastModifiedBy>corbanz</cp:lastModifiedBy>
  <cp:revision>11</cp:revision>
  <cp:lastPrinted>2011-10-17T16:11:00Z</cp:lastPrinted>
  <dcterms:created xsi:type="dcterms:W3CDTF">2012-12-12T18:53:00Z</dcterms:created>
  <dcterms:modified xsi:type="dcterms:W3CDTF">2018-02-20T20:12:00Z</dcterms:modified>
</cp:coreProperties>
</file>