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In Financial Reporting-&gt;Budget you can enter budget information in a number of ways: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1. Upload via a spreadsheet (</w:t>
      </w:r>
      <w:r>
        <w:rPr>
          <w:rFonts w:ascii="Helvetica" w:eastAsia="Times New Roman" w:hAnsi="Helvetica" w:cs="Helvetica"/>
          <w:color w:val="183247"/>
          <w:sz w:val="20"/>
          <w:szCs w:val="20"/>
        </w:rPr>
        <w:t xml:space="preserve">click on </w:t>
      </w: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Load XLS</w:t>
      </w:r>
      <w:r>
        <w:rPr>
          <w:rFonts w:ascii="Helvetica" w:eastAsia="Times New Roman" w:hAnsi="Helvetica" w:cs="Helvetica"/>
          <w:color w:val="183247"/>
          <w:sz w:val="20"/>
          <w:szCs w:val="20"/>
        </w:rPr>
        <w:t xml:space="preserve"> button</w:t>
      </w:r>
      <w:bookmarkStart w:id="0" w:name="_GoBack"/>
      <w:bookmarkEnd w:id="0"/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).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The format is simple. Column "A" is the GL Account, "B" is account name, "C" -to- "N"   are the amounts for periods 1 to 12.</w:t>
      </w:r>
    </w:p>
    <w:p w:rsidR="008508FA" w:rsidRPr="008508FA" w:rsidRDefault="008508FA" w:rsidP="008508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The data load starts at row 7 - so the first 6 rows are for any free form description you may want to have on the spreadsheet.</w:t>
      </w:r>
    </w:p>
    <w:p w:rsidR="008508FA" w:rsidRPr="008508FA" w:rsidRDefault="008508FA" w:rsidP="008508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The budget will load into the fiscal year set by the window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noProof/>
          <w:color w:val="183247"/>
          <w:sz w:val="20"/>
          <w:szCs w:val="20"/>
        </w:rPr>
        <w:drawing>
          <wp:inline distT="0" distB="0" distL="0" distR="0">
            <wp:extent cx="6534150" cy="2830872"/>
            <wp:effectExtent l="0" t="0" r="0" b="7620"/>
            <wp:docPr id="3" name="Picture 3" descr="https://attachment.freshdesk.com/inline/attachment?token=eyJ0eXAiOiJKV1QiLCJhbGciOiJIUzI1NiJ9.eyJpZCI6MTA4ODk1MDcxMSwiZG9tYWluIjoic3R0aS5mcmVzaGRlc2suY29tIiwiYWNjb3VudF9pZCI6ODIyMjB9.XB7Z6eVFJoz_RATmXGn8DOXY25uaunoozQOZ-A-RH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tachment.freshdesk.com/inline/attachment?token=eyJ0eXAiOiJKV1QiLCJhbGciOiJIUzI1NiJ9.eyJpZCI6MTA4ODk1MDcxMSwiZG9tYWluIjoic3R0aS5mcmVzaGRlc2suY29tIiwiYWNjb3VudF9pZCI6ODIyMjB9.XB7Z6eVFJoz_RATmXGn8DOXY25uaunoozQOZ-A-RHS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64" cy="28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noProof/>
          <w:color w:val="183247"/>
          <w:sz w:val="20"/>
          <w:szCs w:val="20"/>
          <w:highlight w:val="yellow"/>
        </w:rPr>
        <w:drawing>
          <wp:inline distT="0" distB="0" distL="0" distR="0">
            <wp:extent cx="5686425" cy="3486150"/>
            <wp:effectExtent l="0" t="0" r="9525" b="0"/>
            <wp:docPr id="2" name="Picture 2" descr="https://attachment.freshdesk.com/inline/attachment?token=eyJ0eXAiOiJKV1QiLCJhbGciOiJIUzI1NiJ9.eyJpZCI6MTA4ODk1MDYyNCwiZG9tYWluIjoic3R0aS5mcmVzaGRlc2suY29tIiwiYWNjb3VudF9pZCI6ODIyMjB9.OZDGUlbre0phrGQmjj1gk4Jx_7OF4wknWNXQWEBfy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tachment.freshdesk.com/inline/attachment?token=eyJ0eXAiOiJKV1QiLCJhbGciOiJIUzI1NiJ9.eyJpZCI6MTA4ODk1MDYyNCwiZG9tYWluIjoic3R0aS5mcmVzaGRlc2suY29tIiwiYWNjb3VudF9pZCI6ODIyMjB9.OZDGUlbre0phrGQmjj1gk4Jx_7OF4wknWNXQWEBfy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lastRenderedPageBreak/>
        <w:t>.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2.. You can also copy prior year's actual or budget data into this year's budget.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3. You can enter and edit budget amounts by pressing the grid icon, and use special keys (</w:t>
      </w:r>
      <w:proofErr w:type="spellStart"/>
      <w:proofErr w:type="gramStart"/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c,y</w:t>
      </w:r>
      <w:proofErr w:type="gramEnd"/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,p</w:t>
      </w:r>
      <w:proofErr w:type="spellEnd"/>
      <w:r w:rsidRPr="008508FA">
        <w:rPr>
          <w:rFonts w:ascii="Helvetica" w:eastAsia="Times New Roman" w:hAnsi="Helvetica" w:cs="Helvetica"/>
          <w:color w:val="183247"/>
          <w:sz w:val="20"/>
          <w:szCs w:val="20"/>
        </w:rPr>
        <w:t>, and s) as described in the window.</w:t>
      </w: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</w:p>
    <w:p w:rsidR="008508FA" w:rsidRPr="008508FA" w:rsidRDefault="008508FA" w:rsidP="008508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3247"/>
          <w:sz w:val="20"/>
          <w:szCs w:val="20"/>
        </w:rPr>
      </w:pPr>
      <w:r w:rsidRPr="008508FA">
        <w:rPr>
          <w:rFonts w:ascii="Helvetica" w:eastAsia="Times New Roman" w:hAnsi="Helvetica" w:cs="Helvetica"/>
          <w:noProof/>
          <w:color w:val="183247"/>
          <w:sz w:val="20"/>
          <w:szCs w:val="20"/>
        </w:rPr>
        <w:drawing>
          <wp:inline distT="0" distB="0" distL="0" distR="0">
            <wp:extent cx="1733550" cy="942975"/>
            <wp:effectExtent l="0" t="0" r="0" b="9525"/>
            <wp:docPr id="1" name="Picture 1" descr="https://attachment.freshdesk.com/inline/attachment?token=eyJ0eXAiOiJKV1QiLCJhbGciOiJIUzI1NiJ9.eyJpZCI6MTA4ODk1MDc5MiwiZG9tYWluIjoic3R0aS5mcmVzaGRlc2suY29tIiwiYWNjb3VudF9pZCI6ODIyMjB9.IXtLi7gGSBvnXSWI2qSHDgqxAEvDQ5WLPzCJ_A2c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tachment.freshdesk.com/inline/attachment?token=eyJ0eXAiOiJKV1QiLCJhbGciOiJIUzI1NiJ9.eyJpZCI6MTA4ODk1MDc5MiwiZG9tYWluIjoic3R0aS5mcmVzaGRlc2suY29tIiwiYWNjb3VudF9pZCI6ODIyMjB9.IXtLi7gGSBvnXSWI2qSHDgqxAEvDQ5WLPzCJ_A2c3f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FA" w:rsidRDefault="008508FA"/>
    <w:sectPr w:rsidR="0085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DF8"/>
    <w:multiLevelType w:val="hybridMultilevel"/>
    <w:tmpl w:val="739E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A"/>
    <w:rsid w:val="008508FA"/>
    <w:rsid w:val="00F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484E"/>
  <w15:chartTrackingRefBased/>
  <w15:docId w15:val="{776E42E4-2C28-47B3-A8E4-A5EBD8F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Seguin</dc:creator>
  <cp:keywords/>
  <dc:description/>
  <cp:lastModifiedBy>Philip Seguin</cp:lastModifiedBy>
  <cp:revision>1</cp:revision>
  <dcterms:created xsi:type="dcterms:W3CDTF">2020-03-24T13:00:00Z</dcterms:created>
  <dcterms:modified xsi:type="dcterms:W3CDTF">2020-03-24T13:07:00Z</dcterms:modified>
</cp:coreProperties>
</file>